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7D1A" w14:textId="042415CF" w:rsidR="00383DE0" w:rsidRDefault="00D61397" w:rsidP="00383DE0">
      <w:pPr>
        <w:pStyle w:val="Heading2"/>
        <w:spacing w:before="0"/>
        <w:jc w:val="center"/>
        <w:rPr>
          <w:rFonts w:asciiTheme="minorHAnsi" w:hAnsiTheme="minorHAnsi" w:cstheme="minorHAnsi"/>
          <w:sz w:val="28"/>
          <w:szCs w:val="28"/>
        </w:rPr>
      </w:pPr>
      <w:r>
        <w:rPr>
          <w:rFonts w:asciiTheme="minorHAnsi" w:hAnsiTheme="minorHAnsi" w:cstheme="minorHAnsi"/>
          <w:sz w:val="28"/>
          <w:szCs w:val="28"/>
        </w:rPr>
        <w:t>Hamilton</w:t>
      </w:r>
      <w:r w:rsidR="00383DE0">
        <w:rPr>
          <w:rFonts w:asciiTheme="minorHAnsi" w:hAnsiTheme="minorHAnsi" w:cstheme="minorHAnsi"/>
          <w:sz w:val="28"/>
          <w:szCs w:val="28"/>
        </w:rPr>
        <w:t xml:space="preserve"> Health Team</w:t>
      </w:r>
      <w:r w:rsidR="00877ECA">
        <w:rPr>
          <w:rFonts w:asciiTheme="minorHAnsi" w:hAnsiTheme="minorHAnsi" w:cstheme="minorHAnsi"/>
          <w:sz w:val="28"/>
          <w:szCs w:val="28"/>
        </w:rPr>
        <w:t xml:space="preserve">: </w:t>
      </w:r>
      <w:r w:rsidR="00383DE0">
        <w:rPr>
          <w:rFonts w:asciiTheme="minorHAnsi" w:hAnsiTheme="minorHAnsi" w:cstheme="minorHAnsi"/>
          <w:sz w:val="28"/>
          <w:szCs w:val="28"/>
        </w:rPr>
        <w:t xml:space="preserve"> Application</w:t>
      </w:r>
      <w:r w:rsidR="00877ECA">
        <w:rPr>
          <w:rFonts w:asciiTheme="minorHAnsi" w:hAnsiTheme="minorHAnsi" w:cstheme="minorHAnsi"/>
          <w:sz w:val="28"/>
          <w:szCs w:val="28"/>
        </w:rPr>
        <w:t xml:space="preserve"> Highlights</w:t>
      </w:r>
    </w:p>
    <w:p w14:paraId="3F448FA5" w14:textId="77777777" w:rsidR="00877ECA" w:rsidRDefault="00877ECA" w:rsidP="00877ECA">
      <w:pPr>
        <w:pStyle w:val="Heading2"/>
        <w:spacing w:before="0"/>
        <w:rPr>
          <w:rFonts w:asciiTheme="minorHAnsi" w:hAnsiTheme="minorHAnsi" w:cstheme="minorHAnsi"/>
          <w:sz w:val="24"/>
          <w:szCs w:val="24"/>
        </w:rPr>
      </w:pPr>
    </w:p>
    <w:p w14:paraId="46D21A0C" w14:textId="76DAB451" w:rsidR="00383DE0" w:rsidRPr="00DD4A7A" w:rsidRDefault="00383DE0" w:rsidP="00877ECA">
      <w:pPr>
        <w:pStyle w:val="Heading2"/>
        <w:spacing w:before="0"/>
        <w:rPr>
          <w:rFonts w:asciiTheme="minorHAnsi" w:hAnsiTheme="minorHAnsi" w:cstheme="minorHAnsi"/>
          <w:sz w:val="24"/>
          <w:szCs w:val="24"/>
        </w:rPr>
      </w:pPr>
      <w:r w:rsidRPr="00DD4A7A">
        <w:rPr>
          <w:rFonts w:asciiTheme="minorHAnsi" w:hAnsiTheme="minorHAnsi" w:cstheme="minorHAnsi"/>
          <w:sz w:val="24"/>
          <w:szCs w:val="24"/>
        </w:rPr>
        <w:t>Hamilton Context</w:t>
      </w:r>
    </w:p>
    <w:p w14:paraId="053E22C4" w14:textId="3F45040D" w:rsidR="00383DE0" w:rsidRPr="001515B1" w:rsidRDefault="00383DE0" w:rsidP="00383DE0">
      <w:pPr>
        <w:rPr>
          <w:rFonts w:asciiTheme="minorHAnsi" w:hAnsiTheme="minorHAnsi" w:cstheme="minorHAnsi"/>
        </w:rPr>
      </w:pPr>
      <w:r w:rsidRPr="001515B1">
        <w:rPr>
          <w:rFonts w:asciiTheme="minorHAnsi" w:hAnsiTheme="minorHAnsi" w:cstheme="minorHAnsi"/>
        </w:rPr>
        <w:t xml:space="preserve">The Hamilton Health Team (HHT) grew from the strong collaboration and leadership in health care that is well established in this city. </w:t>
      </w:r>
      <w:r w:rsidRPr="001515B1">
        <w:rPr>
          <w:rFonts w:asciiTheme="minorHAnsi" w:hAnsiTheme="minorHAnsi" w:cstheme="minorHAnsi"/>
          <w:lang w:val="en-CA"/>
        </w:rPr>
        <w:t xml:space="preserve">Since 2016, a formalized group of health and social service providers, named The Hamilton Community Health Working Group (HCHWG) which was born out of Hamilton’s Anchor Institution Leadership Group (HAIL), has been working together to examine how to improve health and well-being of the population in Hamilton through better coordination of services – with a view to making patient care experiences more seamless and integrated. </w:t>
      </w:r>
    </w:p>
    <w:p w14:paraId="3BC87BF7" w14:textId="77777777" w:rsidR="00383DE0" w:rsidRPr="001515B1" w:rsidRDefault="00383DE0" w:rsidP="00383DE0">
      <w:pPr>
        <w:pStyle w:val="Heading2"/>
        <w:spacing w:before="0"/>
        <w:rPr>
          <w:rFonts w:asciiTheme="minorHAnsi" w:hAnsiTheme="minorHAnsi" w:cstheme="minorHAnsi"/>
          <w:sz w:val="22"/>
          <w:szCs w:val="22"/>
        </w:rPr>
      </w:pPr>
    </w:p>
    <w:p w14:paraId="15488681" w14:textId="77777777" w:rsidR="00383DE0" w:rsidRPr="00640D46" w:rsidRDefault="00383DE0" w:rsidP="00383DE0">
      <w:pPr>
        <w:pStyle w:val="Heading2"/>
        <w:spacing w:before="0"/>
        <w:rPr>
          <w:rFonts w:asciiTheme="minorHAnsi" w:hAnsiTheme="minorHAnsi" w:cstheme="minorHAnsi"/>
          <w:sz w:val="24"/>
          <w:szCs w:val="24"/>
        </w:rPr>
      </w:pPr>
      <w:r w:rsidRPr="00640D46">
        <w:rPr>
          <w:rFonts w:asciiTheme="minorHAnsi" w:hAnsiTheme="minorHAnsi" w:cstheme="minorHAnsi"/>
          <w:sz w:val="24"/>
          <w:szCs w:val="24"/>
        </w:rPr>
        <w:t>Hamilton Health Team</w:t>
      </w:r>
      <w:r>
        <w:rPr>
          <w:rFonts w:asciiTheme="minorHAnsi" w:hAnsiTheme="minorHAnsi" w:cstheme="minorHAnsi"/>
          <w:sz w:val="24"/>
          <w:szCs w:val="24"/>
        </w:rPr>
        <w:t xml:space="preserve"> </w:t>
      </w:r>
      <w:r w:rsidR="0095739B">
        <w:rPr>
          <w:rFonts w:asciiTheme="minorHAnsi" w:hAnsiTheme="minorHAnsi" w:cstheme="minorHAnsi"/>
          <w:sz w:val="24"/>
          <w:szCs w:val="24"/>
        </w:rPr>
        <w:t>(HHT)</w:t>
      </w:r>
      <w:r w:rsidRPr="00640D46">
        <w:rPr>
          <w:rFonts w:asciiTheme="minorHAnsi" w:hAnsiTheme="minorHAnsi" w:cstheme="minorHAnsi"/>
          <w:sz w:val="24"/>
          <w:szCs w:val="24"/>
        </w:rPr>
        <w:t xml:space="preserve"> </w:t>
      </w:r>
    </w:p>
    <w:p w14:paraId="1A5CB930" w14:textId="2859701F" w:rsidR="00E6760A" w:rsidRDefault="00383DE0" w:rsidP="00383DE0">
      <w:r w:rsidRPr="001515B1">
        <w:rPr>
          <w:rFonts w:asciiTheme="minorHAnsi" w:hAnsiTheme="minorHAnsi" w:cstheme="minorHAnsi"/>
        </w:rPr>
        <w:t xml:space="preserve">The HHT is co-chaired by two patient </w:t>
      </w:r>
      <w:r w:rsidRPr="0006022F">
        <w:rPr>
          <w:rFonts w:asciiTheme="minorHAnsi" w:hAnsiTheme="minorHAnsi" w:cstheme="minorHAnsi"/>
        </w:rPr>
        <w:t>advocates, and inc</w:t>
      </w:r>
      <w:r w:rsidR="005170C1">
        <w:rPr>
          <w:rFonts w:asciiTheme="minorHAnsi" w:hAnsiTheme="minorHAnsi" w:cstheme="minorHAnsi"/>
        </w:rPr>
        <w:t>ludes representation across more than 20 organizations</w:t>
      </w:r>
      <w:r w:rsidRPr="0006022F">
        <w:rPr>
          <w:rFonts w:asciiTheme="minorHAnsi" w:hAnsiTheme="minorHAnsi" w:cstheme="minorHAnsi"/>
        </w:rPr>
        <w:t xml:space="preserve">, representing </w:t>
      </w:r>
      <w:r w:rsidRPr="001515B1">
        <w:rPr>
          <w:rFonts w:asciiTheme="minorHAnsi" w:hAnsiTheme="minorHAnsi" w:cstheme="minorHAnsi"/>
          <w:lang w:val="en-GB"/>
        </w:rPr>
        <w:t xml:space="preserve">primary care, home care, hospitals, community agencies, </w:t>
      </w:r>
      <w:r w:rsidRPr="001515B1">
        <w:rPr>
          <w:rFonts w:asciiTheme="minorHAnsi" w:hAnsiTheme="minorHAnsi" w:cstheme="minorHAnsi"/>
        </w:rPr>
        <w:t xml:space="preserve">long-term </w:t>
      </w:r>
      <w:r w:rsidR="00877ECA">
        <w:rPr>
          <w:rFonts w:asciiTheme="minorHAnsi" w:hAnsiTheme="minorHAnsi" w:cstheme="minorHAnsi"/>
        </w:rPr>
        <w:t xml:space="preserve">care, mental health, Indigenous </w:t>
      </w:r>
      <w:r w:rsidRPr="001515B1">
        <w:rPr>
          <w:rFonts w:asciiTheme="minorHAnsi" w:hAnsiTheme="minorHAnsi" w:cstheme="minorHAnsi"/>
        </w:rPr>
        <w:t>health, post-secondary education</w:t>
      </w:r>
      <w:r w:rsidRPr="001515B1">
        <w:rPr>
          <w:rFonts w:asciiTheme="minorHAnsi" w:hAnsiTheme="minorHAnsi" w:cstheme="minorHAnsi"/>
          <w:lang w:val="en-GB"/>
        </w:rPr>
        <w:t xml:space="preserve">, and the </w:t>
      </w:r>
      <w:r w:rsidRPr="001515B1">
        <w:rPr>
          <w:rFonts w:asciiTheme="minorHAnsi" w:hAnsiTheme="minorHAnsi" w:cstheme="minorHAnsi"/>
        </w:rPr>
        <w:t>City of Hamilton Healthy &amp; Safe Communities Department</w:t>
      </w:r>
      <w:r w:rsidR="00877ECA">
        <w:rPr>
          <w:rFonts w:asciiTheme="minorHAnsi" w:hAnsiTheme="minorHAnsi" w:cstheme="minorHAnsi"/>
        </w:rPr>
        <w:t>, Public Health and Paramedic Services</w:t>
      </w:r>
      <w:r w:rsidRPr="001515B1">
        <w:rPr>
          <w:rFonts w:asciiTheme="minorHAnsi" w:hAnsiTheme="minorHAnsi" w:cstheme="minorHAnsi"/>
          <w:lang w:val="en-CA"/>
        </w:rPr>
        <w:t xml:space="preserve">. </w:t>
      </w:r>
      <w:r w:rsidR="005170C1">
        <w:t xml:space="preserve">Together, these organizations </w:t>
      </w:r>
      <w:r w:rsidR="005170C1" w:rsidRPr="00924488">
        <w:t xml:space="preserve">care for some of </w:t>
      </w:r>
      <w:r w:rsidR="00877ECA">
        <w:t xml:space="preserve">the </w:t>
      </w:r>
      <w:r w:rsidR="005170C1" w:rsidRPr="00924488">
        <w:t>community’s most complex and vulnerable patients.</w:t>
      </w:r>
      <w:r w:rsidR="005170C1">
        <w:t xml:space="preserve"> </w:t>
      </w:r>
      <w:r w:rsidR="00360846">
        <w:t>O</w:t>
      </w:r>
      <w:r w:rsidR="008E5100">
        <w:t>rganization</w:t>
      </w:r>
      <w:r w:rsidR="00360846">
        <w:t>al partners and collaborators</w:t>
      </w:r>
      <w:r w:rsidR="005170C1">
        <w:t xml:space="preserve"> include:</w:t>
      </w:r>
    </w:p>
    <w:p w14:paraId="7239345C" w14:textId="77777777" w:rsidR="00383DE0" w:rsidRPr="001515B1" w:rsidRDefault="00383DE0" w:rsidP="00383DE0">
      <w:pPr>
        <w:rPr>
          <w:rFonts w:asciiTheme="minorHAnsi" w:hAnsiTheme="minorHAnsi" w:cstheme="minorHAnsi"/>
          <w:lang w:val="en-CA"/>
        </w:rPr>
        <w:sectPr w:rsidR="00383DE0" w:rsidRPr="001515B1" w:rsidSect="000D1754">
          <w:headerReference w:type="default" r:id="rId7"/>
          <w:footerReference w:type="default" r:id="rId8"/>
          <w:pgSz w:w="12240" w:h="15840"/>
          <w:pgMar w:top="1440" w:right="1080" w:bottom="1080" w:left="1080" w:header="706" w:footer="706" w:gutter="0"/>
          <w:cols w:space="708"/>
          <w:docGrid w:linePitch="360"/>
        </w:sectPr>
      </w:pPr>
    </w:p>
    <w:p w14:paraId="179AAA08" w14:textId="77777777" w:rsidR="00360846" w:rsidRPr="00360846" w:rsidRDefault="00360846"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Alternatives for Youth</w:t>
      </w:r>
    </w:p>
    <w:p w14:paraId="2379AB15"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Alzheimer Society of Hamilton</w:t>
      </w:r>
    </w:p>
    <w:p w14:paraId="0DA5049F" w14:textId="77777777" w:rsidR="00360846" w:rsidRPr="00360846" w:rsidRDefault="00360846" w:rsidP="00D61397">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Bob Kemp Hospice</w:t>
      </w:r>
    </w:p>
    <w:p w14:paraId="0EAEFFE3" w14:textId="77777777" w:rsidR="00D61397" w:rsidRPr="00360846" w:rsidRDefault="00383DE0" w:rsidP="00D61397">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Canadian Mental Health Association – Hamilton Branch</w:t>
      </w:r>
    </w:p>
    <w:p w14:paraId="6A9B5CD0" w14:textId="77777777" w:rsidR="00360846" w:rsidRPr="00360846" w:rsidRDefault="00360846" w:rsidP="00D61397">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rPr>
        <w:t>Catholic Children’s Aid Society</w:t>
      </w:r>
    </w:p>
    <w:p w14:paraId="65447DFD" w14:textId="77777777" w:rsidR="00D61397" w:rsidRPr="00360846" w:rsidRDefault="00D61397" w:rsidP="00D61397">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rPr>
        <w:t xml:space="preserve">Centre de santé </w:t>
      </w:r>
      <w:proofErr w:type="spellStart"/>
      <w:r w:rsidRPr="00360846">
        <w:rPr>
          <w:rFonts w:asciiTheme="minorHAnsi" w:hAnsiTheme="minorHAnsi" w:cstheme="minorHAnsi"/>
          <w:sz w:val="20"/>
          <w:szCs w:val="20"/>
        </w:rPr>
        <w:t>communautaire</w:t>
      </w:r>
      <w:proofErr w:type="spellEnd"/>
      <w:r w:rsidRPr="00360846">
        <w:rPr>
          <w:rFonts w:asciiTheme="minorHAnsi" w:hAnsiTheme="minorHAnsi" w:cstheme="minorHAnsi"/>
          <w:sz w:val="20"/>
          <w:szCs w:val="20"/>
        </w:rPr>
        <w:t xml:space="preserve"> Hamilton Niagara</w:t>
      </w:r>
    </w:p>
    <w:p w14:paraId="0FA2385E" w14:textId="77777777" w:rsidR="00383DE0" w:rsidRPr="00360846" w:rsidRDefault="00383DE0" w:rsidP="00D61397">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 xml:space="preserve">City of Hamilton </w:t>
      </w:r>
      <w:r w:rsidR="00360846" w:rsidRPr="00360846">
        <w:rPr>
          <w:rFonts w:asciiTheme="minorHAnsi" w:hAnsiTheme="minorHAnsi" w:cstheme="minorHAnsi"/>
          <w:sz w:val="20"/>
          <w:szCs w:val="20"/>
          <w:lang w:val="en-CA"/>
        </w:rPr>
        <w:t>(</w:t>
      </w:r>
      <w:r w:rsidRPr="00360846">
        <w:rPr>
          <w:rFonts w:asciiTheme="minorHAnsi" w:hAnsiTheme="minorHAnsi" w:cstheme="minorHAnsi"/>
          <w:sz w:val="20"/>
          <w:szCs w:val="20"/>
          <w:lang w:val="en-CA"/>
        </w:rPr>
        <w:t>Healthy &amp; Safe Communities</w:t>
      </w:r>
      <w:r w:rsidR="00360846" w:rsidRPr="00360846">
        <w:rPr>
          <w:rFonts w:asciiTheme="minorHAnsi" w:hAnsiTheme="minorHAnsi" w:cstheme="minorHAnsi"/>
          <w:sz w:val="20"/>
          <w:szCs w:val="20"/>
          <w:lang w:val="en-CA"/>
        </w:rPr>
        <w:t>, Public Health, Paramedics)</w:t>
      </w:r>
    </w:p>
    <w:p w14:paraId="5D591F60" w14:textId="77777777" w:rsidR="00360846" w:rsidRPr="00360846" w:rsidRDefault="00360846"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Compass Community Health Centre</w:t>
      </w:r>
    </w:p>
    <w:p w14:paraId="3F158CAD"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 xml:space="preserve">De </w:t>
      </w:r>
      <w:proofErr w:type="spellStart"/>
      <w:r w:rsidRPr="00360846">
        <w:rPr>
          <w:rFonts w:asciiTheme="minorHAnsi" w:hAnsiTheme="minorHAnsi" w:cstheme="minorHAnsi"/>
          <w:sz w:val="20"/>
          <w:szCs w:val="20"/>
          <w:lang w:val="en-CA"/>
        </w:rPr>
        <w:t>Dwa</w:t>
      </w:r>
      <w:proofErr w:type="spellEnd"/>
      <w:r w:rsidRPr="00360846">
        <w:rPr>
          <w:rFonts w:asciiTheme="minorHAnsi" w:hAnsiTheme="minorHAnsi" w:cstheme="minorHAnsi"/>
          <w:sz w:val="20"/>
          <w:szCs w:val="20"/>
          <w:lang w:val="en-CA"/>
        </w:rPr>
        <w:t xml:space="preserve"> Da </w:t>
      </w:r>
      <w:proofErr w:type="spellStart"/>
      <w:r w:rsidRPr="00360846">
        <w:rPr>
          <w:rFonts w:asciiTheme="minorHAnsi" w:hAnsiTheme="minorHAnsi" w:cstheme="minorHAnsi"/>
          <w:sz w:val="20"/>
          <w:szCs w:val="20"/>
          <w:lang w:val="en-CA"/>
        </w:rPr>
        <w:t>Dehs</w:t>
      </w:r>
      <w:proofErr w:type="spellEnd"/>
      <w:r w:rsidRPr="00360846">
        <w:rPr>
          <w:rFonts w:asciiTheme="minorHAnsi" w:hAnsiTheme="minorHAnsi" w:cstheme="minorHAnsi"/>
          <w:sz w:val="20"/>
          <w:szCs w:val="20"/>
          <w:lang w:val="en-CA"/>
        </w:rPr>
        <w:t xml:space="preserve"> Nye&gt;s Aboriginal Health Centre</w:t>
      </w:r>
    </w:p>
    <w:p w14:paraId="38C2AAC8"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Department of Family Medicine, McMaster University</w:t>
      </w:r>
    </w:p>
    <w:p w14:paraId="1F1E7DA5"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Good Shepherd Centres</w:t>
      </w:r>
    </w:p>
    <w:p w14:paraId="6FC6E540" w14:textId="77777777" w:rsidR="00360846" w:rsidRPr="00360846" w:rsidRDefault="00360846"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HNHB LHIN</w:t>
      </w:r>
    </w:p>
    <w:p w14:paraId="3C55BEF0" w14:textId="77777777" w:rsidR="00360846" w:rsidRPr="00360846" w:rsidRDefault="00360846"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 xml:space="preserve">Hamilton </w:t>
      </w:r>
      <w:r>
        <w:rPr>
          <w:rFonts w:asciiTheme="minorHAnsi" w:hAnsiTheme="minorHAnsi" w:cstheme="minorHAnsi"/>
          <w:sz w:val="20"/>
          <w:szCs w:val="20"/>
          <w:lang w:val="en-CA"/>
        </w:rPr>
        <w:t>C</w:t>
      </w:r>
      <w:r w:rsidRPr="00360846">
        <w:rPr>
          <w:rFonts w:asciiTheme="minorHAnsi" w:hAnsiTheme="minorHAnsi" w:cstheme="minorHAnsi"/>
          <w:sz w:val="20"/>
          <w:szCs w:val="20"/>
          <w:lang w:val="en-CA"/>
        </w:rPr>
        <w:t>hildren’s Aid Society</w:t>
      </w:r>
    </w:p>
    <w:p w14:paraId="408ACC3D"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Hamilton Family Health Team</w:t>
      </w:r>
    </w:p>
    <w:p w14:paraId="27CA0BD7"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Hamilton Health Sciences</w:t>
      </w:r>
    </w:p>
    <w:p w14:paraId="0D34FC1E"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Indwell</w:t>
      </w:r>
    </w:p>
    <w:p w14:paraId="44B8C98A"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Lynwood Charlton Centre</w:t>
      </w:r>
    </w:p>
    <w:p w14:paraId="00188748"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McMaster Family Health Team</w:t>
      </w:r>
    </w:p>
    <w:p w14:paraId="480A87F5"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McMaster University (Digital Health focus, School of Nursing)</w:t>
      </w:r>
    </w:p>
    <w:p w14:paraId="570EA1B0" w14:textId="77777777" w:rsidR="00D61397" w:rsidRPr="00360846" w:rsidRDefault="00383DE0" w:rsidP="00D61397">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Ontario Telehealth Network</w:t>
      </w:r>
    </w:p>
    <w:p w14:paraId="675DC2B0" w14:textId="77777777" w:rsidR="00383DE0" w:rsidRPr="00360846" w:rsidRDefault="00383DE0" w:rsidP="00D61397">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Patient Representatives (co-chairs)</w:t>
      </w:r>
    </w:p>
    <w:p w14:paraId="1302CD68"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St. Joseph’s Healthcare Hamilton</w:t>
      </w:r>
      <w:r w:rsidR="00E6760A" w:rsidRPr="00360846">
        <w:rPr>
          <w:rFonts w:asciiTheme="minorHAnsi" w:hAnsiTheme="minorHAnsi" w:cstheme="minorHAnsi"/>
          <w:sz w:val="20"/>
          <w:szCs w:val="20"/>
          <w:lang w:val="en-CA"/>
        </w:rPr>
        <w:t xml:space="preserve"> (St. Joseph’s Home Care, St. Joseph’s Villa)</w:t>
      </w:r>
    </w:p>
    <w:p w14:paraId="6D8EBEBC"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St. Elizabeth’s Health Care</w:t>
      </w:r>
    </w:p>
    <w:p w14:paraId="183815BB"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Thrive Group</w:t>
      </w:r>
    </w:p>
    <w:p w14:paraId="3AA65BE9"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Wayside House of Hamilton</w:t>
      </w:r>
    </w:p>
    <w:p w14:paraId="1B20BD3C" w14:textId="77777777" w:rsidR="00383DE0" w:rsidRPr="00360846" w:rsidRDefault="00383DE0" w:rsidP="00383DE0">
      <w:pPr>
        <w:numPr>
          <w:ilvl w:val="0"/>
          <w:numId w:val="3"/>
        </w:numPr>
        <w:ind w:left="284" w:hanging="284"/>
        <w:rPr>
          <w:rFonts w:asciiTheme="minorHAnsi" w:hAnsiTheme="minorHAnsi" w:cstheme="minorHAnsi"/>
          <w:sz w:val="20"/>
          <w:szCs w:val="20"/>
        </w:rPr>
      </w:pPr>
      <w:r w:rsidRPr="00360846">
        <w:rPr>
          <w:rFonts w:asciiTheme="minorHAnsi" w:hAnsiTheme="minorHAnsi" w:cstheme="minorHAnsi"/>
          <w:sz w:val="20"/>
          <w:szCs w:val="20"/>
          <w:lang w:val="en-CA"/>
        </w:rPr>
        <w:t>Wesley Urban Ministries </w:t>
      </w:r>
    </w:p>
    <w:p w14:paraId="52085421" w14:textId="77777777" w:rsidR="00383DE0" w:rsidRPr="00360846" w:rsidRDefault="00383DE0" w:rsidP="00383DE0">
      <w:pPr>
        <w:rPr>
          <w:rFonts w:asciiTheme="minorHAnsi" w:hAnsiTheme="minorHAnsi" w:cstheme="minorHAnsi"/>
          <w:sz w:val="20"/>
          <w:szCs w:val="20"/>
        </w:rPr>
        <w:sectPr w:rsidR="00383DE0" w:rsidRPr="00360846" w:rsidSect="000D1754">
          <w:type w:val="continuous"/>
          <w:pgSz w:w="12240" w:h="15840"/>
          <w:pgMar w:top="1440" w:right="1080" w:bottom="1080" w:left="1080" w:header="706" w:footer="706" w:gutter="0"/>
          <w:cols w:num="3" w:space="354"/>
          <w:docGrid w:linePitch="360"/>
        </w:sectPr>
      </w:pPr>
    </w:p>
    <w:p w14:paraId="24904BB5" w14:textId="77777777" w:rsidR="00577BDC" w:rsidRDefault="00577BDC" w:rsidP="00383DE0">
      <w:pPr>
        <w:pStyle w:val="Heading2"/>
        <w:spacing w:before="0"/>
        <w:rPr>
          <w:rFonts w:asciiTheme="minorHAnsi" w:hAnsiTheme="minorHAnsi" w:cstheme="minorHAnsi"/>
          <w:sz w:val="24"/>
          <w:szCs w:val="24"/>
        </w:rPr>
      </w:pPr>
    </w:p>
    <w:p w14:paraId="4EB530CD" w14:textId="77777777" w:rsidR="00383DE0" w:rsidRPr="00640D46" w:rsidRDefault="00383DE0" w:rsidP="00383DE0">
      <w:pPr>
        <w:pStyle w:val="Heading2"/>
        <w:spacing w:before="0"/>
        <w:rPr>
          <w:rFonts w:asciiTheme="minorHAnsi" w:hAnsiTheme="minorHAnsi" w:cstheme="minorHAnsi"/>
          <w:sz w:val="24"/>
          <w:szCs w:val="24"/>
        </w:rPr>
      </w:pPr>
      <w:r>
        <w:rPr>
          <w:rFonts w:asciiTheme="minorHAnsi" w:hAnsiTheme="minorHAnsi" w:cstheme="minorHAnsi"/>
          <w:sz w:val="24"/>
          <w:szCs w:val="24"/>
        </w:rPr>
        <w:t xml:space="preserve">HHT </w:t>
      </w:r>
      <w:r w:rsidRPr="00640D46">
        <w:rPr>
          <w:rFonts w:asciiTheme="minorHAnsi" w:hAnsiTheme="minorHAnsi" w:cstheme="minorHAnsi"/>
          <w:sz w:val="24"/>
          <w:szCs w:val="24"/>
        </w:rPr>
        <w:t>Engagement</w:t>
      </w:r>
    </w:p>
    <w:p w14:paraId="51B32F96" w14:textId="2AB56423" w:rsidR="00383DE0" w:rsidRPr="00877ECA" w:rsidRDefault="00877ECA" w:rsidP="009D200B">
      <w:pPr>
        <w:rPr>
          <w:rFonts w:asciiTheme="minorHAnsi" w:hAnsiTheme="minorHAnsi" w:cs="Arial"/>
          <w:lang w:val="en-CA"/>
        </w:rPr>
      </w:pPr>
      <w:r>
        <w:rPr>
          <w:rFonts w:asciiTheme="minorHAnsi" w:hAnsiTheme="minorHAnsi"/>
          <w:lang w:val="en-CA"/>
        </w:rPr>
        <w:t xml:space="preserve">During </w:t>
      </w:r>
      <w:r w:rsidR="00E6760A">
        <w:rPr>
          <w:rFonts w:asciiTheme="minorHAnsi" w:hAnsiTheme="minorHAnsi"/>
          <w:lang w:val="en-CA"/>
        </w:rPr>
        <w:t>the past</w:t>
      </w:r>
      <w:r w:rsidR="00E6760A" w:rsidRPr="00E6760A">
        <w:rPr>
          <w:rFonts w:asciiTheme="minorHAnsi" w:hAnsiTheme="minorHAnsi"/>
          <w:lang w:val="en-CA"/>
        </w:rPr>
        <w:t xml:space="preserve"> </w:t>
      </w:r>
      <w:r>
        <w:rPr>
          <w:rFonts w:asciiTheme="minorHAnsi" w:hAnsiTheme="minorHAnsi"/>
          <w:lang w:val="en-CA"/>
        </w:rPr>
        <w:t xml:space="preserve">three </w:t>
      </w:r>
      <w:r w:rsidR="00E6760A" w:rsidRPr="00E6760A">
        <w:rPr>
          <w:rFonts w:asciiTheme="minorHAnsi" w:hAnsiTheme="minorHAnsi"/>
          <w:lang w:val="en-CA"/>
        </w:rPr>
        <w:t xml:space="preserve">months, the HHT has hosted a series of workshops </w:t>
      </w:r>
      <w:r w:rsidR="00E6760A" w:rsidRPr="001515B1">
        <w:rPr>
          <w:rFonts w:asciiTheme="minorHAnsi" w:hAnsiTheme="minorHAnsi"/>
          <w:lang w:val="en-CA"/>
        </w:rPr>
        <w:t>designed to build relation</w:t>
      </w:r>
      <w:r w:rsidR="00E6760A">
        <w:rPr>
          <w:rFonts w:asciiTheme="minorHAnsi" w:hAnsiTheme="minorHAnsi"/>
          <w:lang w:val="en-CA"/>
        </w:rPr>
        <w:t>ships and co-d</w:t>
      </w:r>
      <w:r w:rsidR="00335BBF">
        <w:rPr>
          <w:rFonts w:asciiTheme="minorHAnsi" w:hAnsiTheme="minorHAnsi"/>
          <w:lang w:val="en-CA"/>
        </w:rPr>
        <w:t>esign</w:t>
      </w:r>
      <w:r w:rsidR="00E6760A">
        <w:rPr>
          <w:rFonts w:asciiTheme="minorHAnsi" w:hAnsiTheme="minorHAnsi"/>
          <w:lang w:val="en-CA"/>
        </w:rPr>
        <w:t xml:space="preserve"> the application </w:t>
      </w:r>
      <w:r w:rsidR="00E6760A" w:rsidRPr="001515B1">
        <w:rPr>
          <w:rFonts w:asciiTheme="minorHAnsi" w:hAnsiTheme="minorHAnsi"/>
          <w:lang w:val="en-CA"/>
        </w:rPr>
        <w:t>with expertise from health and social service leadership across the continuum of care including patient advisors, public health, primary care providers, community organizations including health, social services, and housing</w:t>
      </w:r>
      <w:r w:rsidR="00335BBF">
        <w:rPr>
          <w:rFonts w:asciiTheme="minorHAnsi" w:hAnsiTheme="minorHAnsi"/>
          <w:lang w:val="en-CA"/>
        </w:rPr>
        <w:t xml:space="preserve">. </w:t>
      </w:r>
      <w:r w:rsidR="00335BBF">
        <w:rPr>
          <w:rFonts w:asciiTheme="minorHAnsi" w:hAnsiTheme="minorHAnsi" w:cs="Arial"/>
          <w:lang w:val="en-CA"/>
        </w:rPr>
        <w:t>Trust and relationships were built a</w:t>
      </w:r>
      <w:r w:rsidR="00335BBF" w:rsidRPr="00E6760A">
        <w:rPr>
          <w:rFonts w:asciiTheme="minorHAnsi" w:hAnsiTheme="minorHAnsi" w:cs="Arial"/>
          <w:lang w:val="en-CA"/>
        </w:rPr>
        <w:t>ro</w:t>
      </w:r>
      <w:r w:rsidR="00335BBF">
        <w:rPr>
          <w:rFonts w:asciiTheme="minorHAnsi" w:hAnsiTheme="minorHAnsi" w:cs="Arial"/>
          <w:lang w:val="en-CA"/>
        </w:rPr>
        <w:t>und a common vision of</w:t>
      </w:r>
      <w:r w:rsidR="00335BBF" w:rsidRPr="00E6760A">
        <w:rPr>
          <w:rFonts w:asciiTheme="minorHAnsi" w:hAnsiTheme="minorHAnsi" w:cs="Arial"/>
          <w:lang w:val="en-CA"/>
        </w:rPr>
        <w:t xml:space="preserve"> </w:t>
      </w:r>
      <w:r w:rsidR="00835758">
        <w:rPr>
          <w:rFonts w:asciiTheme="minorHAnsi" w:hAnsiTheme="minorHAnsi" w:cs="Arial"/>
          <w:lang w:val="en-CA"/>
        </w:rPr>
        <w:t xml:space="preserve">meeting the Quadruple Aim of </w:t>
      </w:r>
      <w:r w:rsidR="00335BBF">
        <w:rPr>
          <w:rFonts w:asciiTheme="minorHAnsi" w:hAnsiTheme="minorHAnsi" w:cs="Arial"/>
          <w:lang w:val="en-CA"/>
        </w:rPr>
        <w:t>improving healthcare delivery in a way that is</w:t>
      </w:r>
      <w:r w:rsidR="00973B6A">
        <w:rPr>
          <w:rFonts w:asciiTheme="minorHAnsi" w:hAnsiTheme="minorHAnsi" w:cs="Arial"/>
          <w:lang w:val="en-CA"/>
        </w:rPr>
        <w:t xml:space="preserve"> truly patient-centred, improving</w:t>
      </w:r>
      <w:r w:rsidR="00335BBF">
        <w:rPr>
          <w:rFonts w:asciiTheme="minorHAnsi" w:hAnsiTheme="minorHAnsi" w:cs="Arial"/>
          <w:lang w:val="en-CA"/>
        </w:rPr>
        <w:t xml:space="preserve"> population health, and</w:t>
      </w:r>
      <w:r w:rsidR="00973B6A">
        <w:rPr>
          <w:rFonts w:asciiTheme="minorHAnsi" w:hAnsiTheme="minorHAnsi" w:cs="Arial"/>
          <w:lang w:val="en-CA"/>
        </w:rPr>
        <w:t xml:space="preserve"> caring</w:t>
      </w:r>
      <w:r w:rsidR="00335BBF">
        <w:rPr>
          <w:rFonts w:asciiTheme="minorHAnsi" w:hAnsiTheme="minorHAnsi" w:cs="Arial"/>
          <w:lang w:val="en-CA"/>
        </w:rPr>
        <w:t xml:space="preserve"> </w:t>
      </w:r>
      <w:r w:rsidR="009D200B">
        <w:rPr>
          <w:rFonts w:asciiTheme="minorHAnsi" w:hAnsiTheme="minorHAnsi" w:cs="Arial"/>
          <w:lang w:val="en-CA"/>
        </w:rPr>
        <w:t>for the well-being of providers</w:t>
      </w:r>
      <w:r w:rsidR="00973B6A">
        <w:rPr>
          <w:rFonts w:asciiTheme="minorHAnsi" w:hAnsiTheme="minorHAnsi" w:cs="Arial"/>
          <w:lang w:val="en-CA"/>
        </w:rPr>
        <w:t xml:space="preserve"> while </w:t>
      </w:r>
      <w:r w:rsidR="009D200B">
        <w:rPr>
          <w:rFonts w:asciiTheme="minorHAnsi" w:hAnsiTheme="minorHAnsi" w:cs="Arial"/>
          <w:lang w:val="en-CA"/>
        </w:rPr>
        <w:t>efficiently using resources.</w:t>
      </w:r>
      <w:r>
        <w:rPr>
          <w:rFonts w:asciiTheme="minorHAnsi" w:hAnsiTheme="minorHAnsi" w:cs="Arial"/>
          <w:lang w:val="en-CA"/>
        </w:rPr>
        <w:t xml:space="preserve"> </w:t>
      </w:r>
      <w:r w:rsidR="00335BBF" w:rsidRPr="00E6760A">
        <w:rPr>
          <w:rFonts w:asciiTheme="minorHAnsi" w:hAnsiTheme="minorHAnsi" w:cs="Arial"/>
          <w:lang w:val="en-CA"/>
        </w:rPr>
        <w:t>In total, more than 200 leaders, community members, patients, and physicians participat</w:t>
      </w:r>
      <w:r w:rsidR="009D200B">
        <w:rPr>
          <w:rFonts w:asciiTheme="minorHAnsi" w:hAnsiTheme="minorHAnsi" w:cs="Arial"/>
          <w:lang w:val="en-CA"/>
        </w:rPr>
        <w:t xml:space="preserve">ed in this collaborative work to reach </w:t>
      </w:r>
      <w:r w:rsidR="00973B6A">
        <w:rPr>
          <w:rFonts w:asciiTheme="minorHAnsi" w:hAnsiTheme="minorHAnsi" w:cs="Arial"/>
          <w:lang w:val="en-CA"/>
        </w:rPr>
        <w:t>consensus and push</w:t>
      </w:r>
      <w:r w:rsidR="00335BBF" w:rsidRPr="00E6760A">
        <w:rPr>
          <w:rFonts w:asciiTheme="minorHAnsi" w:hAnsiTheme="minorHAnsi" w:cs="Arial"/>
          <w:lang w:val="en-CA"/>
        </w:rPr>
        <w:t xml:space="preserve"> the boundaries of how h</w:t>
      </w:r>
      <w:r w:rsidR="009D200B">
        <w:rPr>
          <w:rFonts w:asciiTheme="minorHAnsi" w:hAnsiTheme="minorHAnsi" w:cs="Arial"/>
          <w:lang w:val="en-CA"/>
        </w:rPr>
        <w:t xml:space="preserve">ealth care could be re-designed. This works sets the path for increasing engagement and collaboration </w:t>
      </w:r>
      <w:r w:rsidR="00973B6A">
        <w:rPr>
          <w:rFonts w:asciiTheme="minorHAnsi" w:hAnsiTheme="minorHAnsi" w:cs="Arial"/>
          <w:lang w:val="en-CA"/>
        </w:rPr>
        <w:t>into</w:t>
      </w:r>
      <w:r w:rsidR="009D200B">
        <w:rPr>
          <w:rFonts w:asciiTheme="minorHAnsi" w:hAnsiTheme="minorHAnsi" w:cs="Arial"/>
          <w:lang w:val="en-CA"/>
        </w:rPr>
        <w:t xml:space="preserve"> the future. </w:t>
      </w:r>
      <w:r w:rsidR="007F7C92">
        <w:rPr>
          <w:rFonts w:asciiTheme="minorHAnsi" w:hAnsiTheme="minorHAnsi" w:cs="Arial"/>
          <w:lang w:val="en-CA"/>
        </w:rPr>
        <w:t xml:space="preserve">More information </w:t>
      </w:r>
      <w:r w:rsidR="00973B6A">
        <w:rPr>
          <w:rFonts w:asciiTheme="minorHAnsi" w:hAnsiTheme="minorHAnsi" w:cs="Arial"/>
          <w:lang w:val="en-CA"/>
        </w:rPr>
        <w:t xml:space="preserve">on this process </w:t>
      </w:r>
      <w:r w:rsidR="009D200B">
        <w:rPr>
          <w:rFonts w:asciiTheme="minorHAnsi" w:hAnsiTheme="minorHAnsi" w:cs="Arial"/>
          <w:lang w:val="en-CA"/>
        </w:rPr>
        <w:t>can be f</w:t>
      </w:r>
      <w:r w:rsidR="007F7C92">
        <w:rPr>
          <w:rFonts w:asciiTheme="minorHAnsi" w:hAnsiTheme="minorHAnsi" w:cs="Arial"/>
          <w:lang w:val="en-CA"/>
        </w:rPr>
        <w:t>ound</w:t>
      </w:r>
      <w:r>
        <w:rPr>
          <w:rFonts w:asciiTheme="minorHAnsi" w:hAnsiTheme="minorHAnsi" w:cs="Arial"/>
          <w:lang w:val="en-CA"/>
        </w:rPr>
        <w:t xml:space="preserve"> here</w:t>
      </w:r>
      <w:r w:rsidR="009D200B">
        <w:rPr>
          <w:rFonts w:asciiTheme="minorHAnsi" w:hAnsiTheme="minorHAnsi" w:cs="Arial"/>
          <w:lang w:val="en-CA"/>
        </w:rPr>
        <w:t xml:space="preserve">: </w:t>
      </w:r>
      <w:r w:rsidR="00383DE0" w:rsidRPr="001515B1">
        <w:rPr>
          <w:rFonts w:asciiTheme="minorHAnsi" w:hAnsiTheme="minorHAnsi"/>
          <w:lang w:val="en-CA"/>
        </w:rPr>
        <w:t xml:space="preserve"> </w:t>
      </w:r>
      <w:hyperlink r:id="rId9" w:history="1">
        <w:r w:rsidR="00383DE0" w:rsidRPr="001515B1">
          <w:rPr>
            <w:rStyle w:val="Hyperlink"/>
            <w:rFonts w:asciiTheme="minorHAnsi" w:hAnsiTheme="minorHAnsi"/>
            <w:lang w:val="en-CA"/>
          </w:rPr>
          <w:t>www.hamilton.ca/OntarioHealthTeam</w:t>
        </w:r>
      </w:hyperlink>
      <w:r w:rsidR="00383DE0" w:rsidRPr="001515B1">
        <w:rPr>
          <w:rFonts w:asciiTheme="minorHAnsi" w:hAnsiTheme="minorHAnsi"/>
          <w:lang w:val="en-CA"/>
        </w:rPr>
        <w:t xml:space="preserve">. </w:t>
      </w:r>
    </w:p>
    <w:p w14:paraId="6235817B" w14:textId="77777777" w:rsidR="009D200B" w:rsidRDefault="009D200B" w:rsidP="009D200B"/>
    <w:p w14:paraId="39B52C6B" w14:textId="77777777" w:rsidR="007F7C92" w:rsidRDefault="007F7C92" w:rsidP="009D200B">
      <w:pPr>
        <w:pStyle w:val="Heading2"/>
        <w:spacing w:before="0"/>
        <w:rPr>
          <w:rFonts w:asciiTheme="minorHAnsi" w:hAnsiTheme="minorHAnsi" w:cstheme="minorHAnsi"/>
          <w:sz w:val="24"/>
          <w:szCs w:val="24"/>
        </w:rPr>
      </w:pPr>
      <w:r>
        <w:rPr>
          <w:rFonts w:asciiTheme="minorHAnsi" w:hAnsiTheme="minorHAnsi" w:cstheme="minorHAnsi"/>
          <w:sz w:val="24"/>
          <w:szCs w:val="24"/>
        </w:rPr>
        <w:t>Patient involvement</w:t>
      </w:r>
    </w:p>
    <w:p w14:paraId="7675CB73" w14:textId="77777777" w:rsidR="007F7C92" w:rsidRPr="00973B6A" w:rsidRDefault="007F7C92" w:rsidP="007F7C92">
      <w:pPr>
        <w:pStyle w:val="Heading2"/>
        <w:spacing w:before="0"/>
        <w:rPr>
          <w:rFonts w:asciiTheme="minorHAnsi" w:hAnsiTheme="minorHAnsi" w:cstheme="minorHAnsi"/>
          <w:b w:val="0"/>
          <w:color w:val="auto"/>
          <w:sz w:val="22"/>
          <w:szCs w:val="22"/>
        </w:rPr>
      </w:pPr>
      <w:r w:rsidRPr="00973B6A">
        <w:rPr>
          <w:rFonts w:asciiTheme="minorHAnsi" w:hAnsiTheme="minorHAnsi" w:cstheme="minorHAnsi"/>
          <w:b w:val="0"/>
          <w:color w:val="auto"/>
          <w:sz w:val="22"/>
          <w:szCs w:val="22"/>
        </w:rPr>
        <w:t>Patients, families and caregivers are considered co-designers and partners. Two patient representatives co-chaired the HHT Steering Committee, helping to ensure that patients and families remained at the forefront. Fifteen patient, family and caregiver participants contributed to the workshops and a representative was a part of all working groups. The model of patients as partners is embedded in the process application and future design of the HHT.</w:t>
      </w:r>
    </w:p>
    <w:p w14:paraId="200AFF07" w14:textId="77777777" w:rsidR="007F7C92" w:rsidRDefault="007F7C92" w:rsidP="007F7C92"/>
    <w:p w14:paraId="60E679F2" w14:textId="77777777" w:rsidR="00383DE0" w:rsidRPr="00AD6DBA" w:rsidRDefault="00383DE0" w:rsidP="00383DE0">
      <w:pPr>
        <w:pStyle w:val="Heading1"/>
        <w:jc w:val="center"/>
        <w:rPr>
          <w:rFonts w:asciiTheme="minorHAnsi" w:hAnsiTheme="minorHAnsi" w:cstheme="minorHAnsi"/>
          <w:b/>
          <w:sz w:val="28"/>
          <w:szCs w:val="28"/>
        </w:rPr>
      </w:pPr>
      <w:r w:rsidRPr="00AD6DBA">
        <w:rPr>
          <w:rFonts w:asciiTheme="minorHAnsi" w:hAnsiTheme="minorHAnsi" w:cstheme="minorHAnsi"/>
          <w:b/>
          <w:sz w:val="28"/>
          <w:szCs w:val="28"/>
        </w:rPr>
        <w:lastRenderedPageBreak/>
        <w:t>Hamilton Health Team Year 1 Focus</w:t>
      </w:r>
    </w:p>
    <w:p w14:paraId="04E120EB" w14:textId="77777777" w:rsidR="00577E22" w:rsidRPr="00577E22" w:rsidRDefault="00577E22" w:rsidP="00577E22">
      <w:pPr>
        <w:pStyle w:val="Heading2"/>
        <w:spacing w:before="0"/>
        <w:rPr>
          <w:rFonts w:asciiTheme="minorHAnsi" w:hAnsiTheme="minorHAnsi" w:cstheme="minorHAnsi"/>
          <w:sz w:val="24"/>
          <w:szCs w:val="24"/>
        </w:rPr>
      </w:pPr>
      <w:r w:rsidRPr="00577E22">
        <w:rPr>
          <w:rFonts w:asciiTheme="minorHAnsi" w:hAnsiTheme="minorHAnsi" w:cstheme="minorHAnsi"/>
          <w:sz w:val="24"/>
          <w:szCs w:val="24"/>
        </w:rPr>
        <w:t>Vision</w:t>
      </w:r>
    </w:p>
    <w:p w14:paraId="4BB88F58" w14:textId="77777777" w:rsidR="00577E22" w:rsidRDefault="00577E22" w:rsidP="00577E22">
      <w:r>
        <w:t>A healthier community that provides an equitable and seamless continuum of care that actively improves population health and meets the individual ne</w:t>
      </w:r>
      <w:r w:rsidR="00685065">
        <w:t xml:space="preserve">eds of our community. </w:t>
      </w:r>
      <w:r>
        <w:t>A population that is:</w:t>
      </w:r>
    </w:p>
    <w:p w14:paraId="025FF0C0" w14:textId="77777777" w:rsidR="00577E22" w:rsidRDefault="00577E22" w:rsidP="00577E22">
      <w:pPr>
        <w:pStyle w:val="ListParagraph"/>
        <w:numPr>
          <w:ilvl w:val="0"/>
          <w:numId w:val="18"/>
        </w:numPr>
      </w:pPr>
      <w:r>
        <w:t>Healthier, with lower rates of chronic illness;</w:t>
      </w:r>
    </w:p>
    <w:p w14:paraId="35A397B2" w14:textId="77777777" w:rsidR="00577E22" w:rsidRDefault="00577E22" w:rsidP="00577E22">
      <w:pPr>
        <w:pStyle w:val="ListParagraph"/>
        <w:numPr>
          <w:ilvl w:val="0"/>
          <w:numId w:val="18"/>
        </w:numPr>
      </w:pPr>
      <w:r>
        <w:t>Activated, informed, and empowered to navigate the system; and</w:t>
      </w:r>
    </w:p>
    <w:p w14:paraId="5FFF4601" w14:textId="77777777" w:rsidR="00577E22" w:rsidRDefault="00577E22" w:rsidP="00577E22">
      <w:pPr>
        <w:pStyle w:val="ListParagraph"/>
        <w:numPr>
          <w:ilvl w:val="0"/>
          <w:numId w:val="18"/>
        </w:numPr>
      </w:pPr>
      <w:r>
        <w:t xml:space="preserve">Treated equitably. </w:t>
      </w:r>
    </w:p>
    <w:p w14:paraId="5F2D8A00" w14:textId="77777777" w:rsidR="00577E22" w:rsidRDefault="00577E22" w:rsidP="00577E22">
      <w:pPr>
        <w:pStyle w:val="Heading2"/>
        <w:spacing w:before="0"/>
        <w:rPr>
          <w:rFonts w:asciiTheme="minorHAnsi" w:hAnsiTheme="minorHAnsi" w:cstheme="minorHAnsi"/>
          <w:sz w:val="24"/>
          <w:szCs w:val="24"/>
        </w:rPr>
      </w:pPr>
    </w:p>
    <w:p w14:paraId="71140294" w14:textId="77777777" w:rsidR="00383DE0" w:rsidRPr="00640D46" w:rsidRDefault="00383DE0" w:rsidP="00383DE0">
      <w:pPr>
        <w:pStyle w:val="Heading2"/>
        <w:spacing w:before="0"/>
        <w:rPr>
          <w:rFonts w:asciiTheme="minorHAnsi" w:hAnsiTheme="minorHAnsi" w:cstheme="minorHAnsi"/>
          <w:sz w:val="24"/>
          <w:szCs w:val="24"/>
        </w:rPr>
      </w:pPr>
      <w:r w:rsidRPr="00640D46">
        <w:rPr>
          <w:rFonts w:asciiTheme="minorHAnsi" w:hAnsiTheme="minorHAnsi" w:cstheme="minorHAnsi"/>
          <w:sz w:val="24"/>
          <w:szCs w:val="24"/>
        </w:rPr>
        <w:t>Hamilton Health Team Priority Populations</w:t>
      </w:r>
    </w:p>
    <w:p w14:paraId="27B3ED24" w14:textId="77777777" w:rsidR="00383DE0" w:rsidRDefault="00383DE0" w:rsidP="00383DE0">
      <w:r>
        <w:t xml:space="preserve">The following populations were identified through the Community Health Working Groups, </w:t>
      </w:r>
      <w:r w:rsidRPr="00226F02">
        <w:t>primary care and hospital data</w:t>
      </w:r>
      <w:r>
        <w:t xml:space="preserve"> and in consultation with the co</w:t>
      </w:r>
      <w:r w:rsidR="00785559">
        <w:t xml:space="preserve">mmunity. These populations are well documented </w:t>
      </w:r>
      <w:r>
        <w:t>and align with the community health issues identified in the Hamilton Spectator’s Code Red Series.</w:t>
      </w:r>
    </w:p>
    <w:p w14:paraId="3C9D3DD8" w14:textId="77777777" w:rsidR="00383DE0" w:rsidRDefault="00383DE0" w:rsidP="00383DE0">
      <w:pPr>
        <w:pStyle w:val="ListParagraph"/>
        <w:numPr>
          <w:ilvl w:val="1"/>
          <w:numId w:val="11"/>
        </w:numPr>
      </w:pPr>
      <w:r>
        <w:t>Adults with mental health and addiction concerns</w:t>
      </w:r>
    </w:p>
    <w:p w14:paraId="775A510C" w14:textId="77777777" w:rsidR="00383DE0" w:rsidRDefault="00383DE0" w:rsidP="00383DE0">
      <w:pPr>
        <w:pStyle w:val="ListParagraph"/>
        <w:numPr>
          <w:ilvl w:val="1"/>
          <w:numId w:val="11"/>
        </w:numPr>
      </w:pPr>
      <w:r>
        <w:t>Children and youth with mental health and addiction concerns</w:t>
      </w:r>
    </w:p>
    <w:p w14:paraId="5EE4216F" w14:textId="77777777" w:rsidR="00383DE0" w:rsidRDefault="00383DE0" w:rsidP="00383DE0">
      <w:pPr>
        <w:pStyle w:val="ListParagraph"/>
        <w:numPr>
          <w:ilvl w:val="1"/>
          <w:numId w:val="11"/>
        </w:numPr>
      </w:pPr>
      <w:r>
        <w:t>Older Adults with multiple chronic conditions</w:t>
      </w:r>
    </w:p>
    <w:p w14:paraId="70E384B3" w14:textId="77777777" w:rsidR="00383DE0" w:rsidRPr="00410662" w:rsidRDefault="00383DE0" w:rsidP="00410662">
      <w:pPr>
        <w:rPr>
          <w:rFonts w:asciiTheme="minorHAnsi" w:hAnsiTheme="minorHAnsi" w:cstheme="minorHAnsi"/>
        </w:rPr>
      </w:pPr>
      <w:r w:rsidRPr="00410662">
        <w:rPr>
          <w:rFonts w:asciiTheme="minorHAnsi" w:hAnsiTheme="minorHAnsi" w:cstheme="minorHAnsi"/>
          <w:b/>
          <w:color w:val="4F81BD" w:themeColor="accent1"/>
        </w:rPr>
        <w:t>Mental health and addiction</w:t>
      </w:r>
      <w:r w:rsidRPr="00410662">
        <w:rPr>
          <w:rFonts w:asciiTheme="minorHAnsi" w:hAnsiTheme="minorHAnsi" w:cstheme="minorHAnsi"/>
          <w:color w:val="4F81BD" w:themeColor="accent1"/>
        </w:rPr>
        <w:t xml:space="preserve"> </w:t>
      </w:r>
      <w:r w:rsidRPr="00410662">
        <w:rPr>
          <w:rFonts w:asciiTheme="minorHAnsi" w:hAnsiTheme="minorHAnsi" w:cstheme="minorHAnsi"/>
        </w:rPr>
        <w:t xml:space="preserve">is a significant local health burden.  Mental illness accounts for 21% of the disability-adjusted life years in Hamilton. Suicide is a leading cause of death for those under 45. Opioid deaths tripled from 2005 to 2017. </w:t>
      </w:r>
    </w:p>
    <w:p w14:paraId="6366BE03" w14:textId="77777777" w:rsidR="00383DE0" w:rsidRPr="00410662" w:rsidRDefault="00383DE0" w:rsidP="00410662">
      <w:pPr>
        <w:rPr>
          <w:rFonts w:asciiTheme="minorHAnsi" w:hAnsiTheme="minorHAnsi" w:cstheme="minorHAnsi"/>
        </w:rPr>
      </w:pPr>
      <w:r w:rsidRPr="00410662">
        <w:rPr>
          <w:rFonts w:asciiTheme="minorHAnsi" w:hAnsiTheme="minorHAnsi" w:cstheme="minorHAnsi"/>
          <w:b/>
          <w:bCs/>
          <w:color w:val="4F81BD" w:themeColor="accent1"/>
        </w:rPr>
        <w:t>Seniors with multiple chronic conditions</w:t>
      </w:r>
      <w:r w:rsidRPr="00410662">
        <w:rPr>
          <w:rFonts w:asciiTheme="minorHAnsi" w:hAnsiTheme="minorHAnsi" w:cstheme="minorHAnsi"/>
          <w:b/>
          <w:bCs/>
        </w:rPr>
        <w:t xml:space="preserve">: </w:t>
      </w:r>
      <w:r w:rsidRPr="00410662">
        <w:rPr>
          <w:rFonts w:asciiTheme="minorHAnsi" w:hAnsiTheme="minorHAnsi" w:cstheme="minorHAnsi"/>
        </w:rPr>
        <w:t>By 2041, Hamilton will, for the first time, have more seniors than children and youth. Providing integrated care for our complex seniors will help ensure this population receives services in more appropriate settings</w:t>
      </w:r>
      <w:r w:rsidR="00577E22">
        <w:rPr>
          <w:rFonts w:asciiTheme="minorHAnsi" w:hAnsiTheme="minorHAnsi" w:cstheme="minorHAnsi"/>
        </w:rPr>
        <w:t xml:space="preserve">, achieving outcomes aligning </w:t>
      </w:r>
      <w:r w:rsidRPr="00410662">
        <w:rPr>
          <w:rFonts w:asciiTheme="minorHAnsi" w:hAnsiTheme="minorHAnsi" w:cstheme="minorHAnsi"/>
        </w:rPr>
        <w:t xml:space="preserve">with their goals. </w:t>
      </w:r>
    </w:p>
    <w:p w14:paraId="77946402" w14:textId="77777777" w:rsidR="00383DE0" w:rsidRDefault="00383DE0" w:rsidP="00383DE0">
      <w:pPr>
        <w:rPr>
          <w:rFonts w:asciiTheme="minorHAnsi" w:hAnsiTheme="minorHAnsi" w:cstheme="minorHAnsi"/>
        </w:rPr>
      </w:pPr>
    </w:p>
    <w:p w14:paraId="12CDA8A6" w14:textId="77777777" w:rsidR="00383DE0" w:rsidRPr="00640D46" w:rsidRDefault="00383DE0" w:rsidP="00383DE0">
      <w:pPr>
        <w:pStyle w:val="Heading2"/>
        <w:spacing w:before="0"/>
        <w:rPr>
          <w:rFonts w:asciiTheme="minorHAnsi" w:hAnsiTheme="minorHAnsi" w:cstheme="minorHAnsi"/>
          <w:color w:val="FF0000"/>
          <w:sz w:val="24"/>
          <w:szCs w:val="24"/>
        </w:rPr>
      </w:pPr>
      <w:r w:rsidRPr="00640D46">
        <w:rPr>
          <w:rFonts w:asciiTheme="minorHAnsi" w:hAnsiTheme="minorHAnsi" w:cstheme="minorHAnsi"/>
          <w:sz w:val="24"/>
          <w:szCs w:val="24"/>
        </w:rPr>
        <w:t xml:space="preserve">Approach to Redesigning and Better Connecting Care </w:t>
      </w:r>
    </w:p>
    <w:p w14:paraId="76CBAEF6" w14:textId="77777777" w:rsidR="00383DE0" w:rsidRPr="001515B1" w:rsidRDefault="00577E22" w:rsidP="00383DE0">
      <w:pPr>
        <w:rPr>
          <w:rFonts w:asciiTheme="minorHAnsi" w:hAnsiTheme="minorHAnsi" w:cstheme="minorHAnsi"/>
        </w:rPr>
      </w:pPr>
      <w:r w:rsidRPr="00410662">
        <w:rPr>
          <w:rFonts w:asciiTheme="minorHAnsi" w:hAnsiTheme="minorHAnsi" w:cstheme="minorHAnsi"/>
        </w:rPr>
        <w:t xml:space="preserve">The focus will be to build a new approach to patient care focused on improving patient outcomes and the patient experience by redesigning how to connect, coordinate, and deliver health and community support services to better serve specific populations. </w:t>
      </w:r>
      <w:r w:rsidR="00383DE0" w:rsidRPr="001515B1">
        <w:rPr>
          <w:rFonts w:asciiTheme="minorHAnsi" w:hAnsiTheme="minorHAnsi" w:cstheme="minorHAnsi"/>
        </w:rPr>
        <w:t xml:space="preserve">Interventions will be focused in three areas: </w:t>
      </w:r>
    </w:p>
    <w:p w14:paraId="7F03F838" w14:textId="77777777" w:rsidR="00383DE0" w:rsidRPr="001515B1" w:rsidRDefault="00383DE0" w:rsidP="00383DE0">
      <w:pPr>
        <w:numPr>
          <w:ilvl w:val="0"/>
          <w:numId w:val="1"/>
        </w:numPr>
        <w:tabs>
          <w:tab w:val="num" w:pos="720"/>
        </w:tabs>
        <w:rPr>
          <w:rFonts w:asciiTheme="minorHAnsi" w:hAnsiTheme="minorHAnsi" w:cstheme="minorHAnsi"/>
        </w:rPr>
      </w:pPr>
      <w:r w:rsidRPr="001515B1">
        <w:rPr>
          <w:rFonts w:asciiTheme="minorHAnsi" w:hAnsiTheme="minorHAnsi" w:cstheme="minorHAnsi"/>
          <w:b/>
          <w:bCs/>
          <w:lang w:val="en-GB"/>
        </w:rPr>
        <w:t xml:space="preserve">Early identification: </w:t>
      </w:r>
      <w:r w:rsidRPr="001515B1">
        <w:rPr>
          <w:rFonts w:asciiTheme="minorHAnsi" w:hAnsiTheme="minorHAnsi" w:cstheme="minorHAnsi"/>
          <w:lang w:val="en-GB"/>
        </w:rPr>
        <w:t xml:space="preserve">develop a proactive system of care that identifies concerns early and intervenes before issues/illness begin to take hold. </w:t>
      </w:r>
    </w:p>
    <w:p w14:paraId="56566910" w14:textId="77777777" w:rsidR="00383DE0" w:rsidRPr="001515B1" w:rsidRDefault="00383DE0" w:rsidP="00383DE0">
      <w:pPr>
        <w:numPr>
          <w:ilvl w:val="0"/>
          <w:numId w:val="1"/>
        </w:numPr>
        <w:tabs>
          <w:tab w:val="num" w:pos="720"/>
        </w:tabs>
        <w:rPr>
          <w:rFonts w:asciiTheme="minorHAnsi" w:hAnsiTheme="minorHAnsi" w:cstheme="minorHAnsi"/>
        </w:rPr>
      </w:pPr>
      <w:r w:rsidRPr="001515B1">
        <w:rPr>
          <w:rFonts w:asciiTheme="minorHAnsi" w:hAnsiTheme="minorHAnsi" w:cstheme="minorHAnsi"/>
          <w:b/>
          <w:bCs/>
          <w:lang w:val="en-GB"/>
        </w:rPr>
        <w:t xml:space="preserve">Geographic cluster: </w:t>
      </w:r>
      <w:r w:rsidRPr="001515B1">
        <w:rPr>
          <w:rFonts w:asciiTheme="minorHAnsi" w:hAnsiTheme="minorHAnsi" w:cstheme="minorHAnsi"/>
          <w:lang w:val="en-GB"/>
        </w:rPr>
        <w:t xml:space="preserve">A place-based approach in areas where strengthened service coordination and service delivery will make a significant impact on the health of populations and health care utilization. </w:t>
      </w:r>
    </w:p>
    <w:p w14:paraId="4C097A3B" w14:textId="77777777" w:rsidR="00383DE0" w:rsidRPr="001515B1" w:rsidRDefault="00383DE0" w:rsidP="00383DE0">
      <w:pPr>
        <w:numPr>
          <w:ilvl w:val="0"/>
          <w:numId w:val="1"/>
        </w:numPr>
        <w:tabs>
          <w:tab w:val="num" w:pos="720"/>
        </w:tabs>
        <w:rPr>
          <w:rFonts w:asciiTheme="minorHAnsi" w:hAnsiTheme="minorHAnsi" w:cstheme="minorHAnsi"/>
        </w:rPr>
      </w:pPr>
      <w:r w:rsidRPr="001515B1">
        <w:rPr>
          <w:rFonts w:asciiTheme="minorHAnsi" w:hAnsiTheme="minorHAnsi" w:cstheme="minorHAnsi"/>
          <w:b/>
          <w:bCs/>
          <w:lang w:val="en-GB"/>
        </w:rPr>
        <w:t>Transitions from hospital:</w:t>
      </w:r>
      <w:r w:rsidRPr="001515B1">
        <w:rPr>
          <w:rFonts w:asciiTheme="minorHAnsi" w:hAnsiTheme="minorHAnsi" w:cstheme="minorHAnsi"/>
          <w:lang w:val="en-GB"/>
        </w:rPr>
        <w:t xml:space="preserve"> seamless transitions from hospitals for patients with complex mental illness and addiction conditions and seniors with chronic conditions. </w:t>
      </w:r>
    </w:p>
    <w:p w14:paraId="22A30719" w14:textId="77777777" w:rsidR="00383DE0" w:rsidRPr="002C0976" w:rsidRDefault="00383DE0" w:rsidP="00383DE0">
      <w:pPr>
        <w:rPr>
          <w:rFonts w:asciiTheme="minorHAnsi" w:hAnsiTheme="minorHAnsi" w:cstheme="minorHAnsi"/>
          <w:i/>
        </w:rPr>
      </w:pPr>
      <w:r w:rsidRPr="001515B1">
        <w:rPr>
          <w:rFonts w:asciiTheme="minorHAnsi" w:hAnsiTheme="minorHAnsi" w:cstheme="minorHAnsi"/>
          <w:i/>
          <w:lang w:val="en-CA"/>
        </w:rPr>
        <w:t xml:space="preserve"> </w:t>
      </w:r>
    </w:p>
    <w:p w14:paraId="6353FF81" w14:textId="77777777" w:rsidR="00383DE0" w:rsidRDefault="00383DE0" w:rsidP="00383DE0">
      <w:pPr>
        <w:rPr>
          <w:rFonts w:asciiTheme="minorHAnsi" w:hAnsiTheme="minorHAnsi" w:cstheme="minorHAnsi"/>
          <w:color w:val="4F81BD" w:themeColor="accent1"/>
          <w:sz w:val="24"/>
          <w:szCs w:val="24"/>
        </w:rPr>
      </w:pPr>
      <w:r w:rsidRPr="00785559">
        <w:rPr>
          <w:rFonts w:asciiTheme="minorHAnsi" w:hAnsiTheme="minorHAnsi" w:cstheme="minorHAnsi"/>
          <w:b/>
          <w:bCs/>
          <w:color w:val="4F81BD" w:themeColor="accent1"/>
          <w:sz w:val="24"/>
          <w:szCs w:val="24"/>
        </w:rPr>
        <w:t>Year 1 Goals</w:t>
      </w:r>
      <w:r w:rsidRPr="00785559">
        <w:rPr>
          <w:rFonts w:asciiTheme="minorHAnsi" w:hAnsiTheme="minorHAnsi" w:cstheme="minorHAnsi"/>
          <w:color w:val="4F81BD" w:themeColor="accent1"/>
          <w:sz w:val="24"/>
          <w:szCs w:val="24"/>
        </w:rPr>
        <w:t>:</w:t>
      </w:r>
    </w:p>
    <w:p w14:paraId="287DE543" w14:textId="52CEC3AE" w:rsidR="00F825B8" w:rsidRPr="00785559" w:rsidRDefault="00785559" w:rsidP="00785559">
      <w:r>
        <w:t xml:space="preserve">The intent is to </w:t>
      </w:r>
      <w:r w:rsidRPr="00785559">
        <w:t xml:space="preserve">improve outcomes not only for the highest </w:t>
      </w:r>
      <w:r w:rsidRPr="00785559">
        <w:rPr>
          <w:i/>
        </w:rPr>
        <w:t>current</w:t>
      </w:r>
      <w:r>
        <w:t xml:space="preserve"> users of health</w:t>
      </w:r>
      <w:r w:rsidRPr="00785559">
        <w:t>care</w:t>
      </w:r>
      <w:r>
        <w:t>, but over the longer term</w:t>
      </w:r>
      <w:r w:rsidR="00877ECA">
        <w:t xml:space="preserve">, </w:t>
      </w:r>
      <w:r>
        <w:t>to</w:t>
      </w:r>
      <w:r w:rsidRPr="00785559">
        <w:t xml:space="preserve"> prevent patients fr</w:t>
      </w:r>
      <w:r w:rsidR="00577E22">
        <w:t>om becoming high users</w:t>
      </w:r>
      <w:r>
        <w:t xml:space="preserve">. </w:t>
      </w:r>
      <w:r w:rsidR="00577E22">
        <w:t xml:space="preserve"> </w:t>
      </w:r>
      <w:r w:rsidR="00F825B8">
        <w:t>Goals for Year 1 include:</w:t>
      </w:r>
    </w:p>
    <w:p w14:paraId="00D0F650" w14:textId="77777777" w:rsidR="00383DE0" w:rsidRDefault="00383DE0" w:rsidP="00685065">
      <w:r w:rsidRPr="00685065">
        <w:rPr>
          <w:b/>
        </w:rPr>
        <w:t>Reduce frequency of ED visits for care that could be provided in the community</w:t>
      </w:r>
      <w:r w:rsidRPr="00685065">
        <w:rPr>
          <w:b/>
          <w:color w:val="00B0F0"/>
        </w:rPr>
        <w:t xml:space="preserve"> </w:t>
      </w:r>
      <w:r w:rsidRPr="00F2029F">
        <w:t>by establishing a mobile, multi-sector transition team for high users transitioning from hospital;</w:t>
      </w:r>
    </w:p>
    <w:p w14:paraId="6B860CAA" w14:textId="49A279F2" w:rsidR="00383DE0" w:rsidRDefault="00383DE0" w:rsidP="00685065">
      <w:r w:rsidRPr="00685065">
        <w:rPr>
          <w:b/>
        </w:rPr>
        <w:t>Reduce</w:t>
      </w:r>
      <w:r w:rsidRPr="00F2029F">
        <w:t xml:space="preserve"> </w:t>
      </w:r>
      <w:r w:rsidR="00796E45">
        <w:rPr>
          <w:b/>
        </w:rPr>
        <w:t>30-day inpatient readmission r</w:t>
      </w:r>
      <w:r w:rsidRPr="00685065">
        <w:rPr>
          <w:b/>
        </w:rPr>
        <w:t xml:space="preserve">ates </w:t>
      </w:r>
      <w:r w:rsidRPr="00F2029F">
        <w:t>t</w:t>
      </w:r>
      <w:r>
        <w:t>hrough more effective transition planning and connecting/reconnecting patients to wrap-around services from home and community care providers;</w:t>
      </w:r>
    </w:p>
    <w:p w14:paraId="10A0B90B" w14:textId="1EC43229" w:rsidR="00383DE0" w:rsidRDefault="00383DE0" w:rsidP="00685065">
      <w:r w:rsidRPr="00796E45">
        <w:rPr>
          <w:b/>
        </w:rPr>
        <w:t>Increase the percentage</w:t>
      </w:r>
      <w:r w:rsidR="00796E45">
        <w:rPr>
          <w:b/>
        </w:rPr>
        <w:t xml:space="preserve"> of patients who had a virtual e</w:t>
      </w:r>
      <w:r w:rsidRPr="00685065">
        <w:rPr>
          <w:b/>
        </w:rPr>
        <w:t>ncoun</w:t>
      </w:r>
      <w:r w:rsidR="00796E45">
        <w:rPr>
          <w:b/>
        </w:rPr>
        <w:t>ter in the last 12 m</w:t>
      </w:r>
      <w:r w:rsidRPr="00685065">
        <w:rPr>
          <w:b/>
        </w:rPr>
        <w:t>onths</w:t>
      </w:r>
      <w:r w:rsidRPr="00F2029F">
        <w:t xml:space="preserve"> through</w:t>
      </w:r>
      <w:r w:rsidRPr="0076236F">
        <w:t xml:space="preserve"> our targeted expansion and improvement of successful digital platforms</w:t>
      </w:r>
      <w:r>
        <w:t xml:space="preserve"> that offer virtual care;</w:t>
      </w:r>
    </w:p>
    <w:p w14:paraId="00E78D94" w14:textId="77777777" w:rsidR="00383DE0" w:rsidRDefault="00383DE0" w:rsidP="00685065">
      <w:r w:rsidRPr="00685065">
        <w:rPr>
          <w:b/>
        </w:rPr>
        <w:t>Improve the rate of post-discharge follow up by primary care within 7-days of discharge</w:t>
      </w:r>
      <w:r>
        <w:t xml:space="preserve"> by w</w:t>
      </w:r>
      <w:r w:rsidRPr="0076236F">
        <w:t>orking with the transition teams at our hospitals, and aided by the embedding of LHIN ca</w:t>
      </w:r>
      <w:r>
        <w:t>re coordinators in primary care.</w:t>
      </w:r>
    </w:p>
    <w:p w14:paraId="4E2F0B2E" w14:textId="77777777" w:rsidR="00383DE0" w:rsidRPr="00B604D3" w:rsidRDefault="00383DE0" w:rsidP="00383DE0">
      <w:pPr>
        <w:ind w:left="360"/>
      </w:pPr>
    </w:p>
    <w:p w14:paraId="7DCCC830" w14:textId="77777777" w:rsidR="00577E22" w:rsidRDefault="00577E22" w:rsidP="00F825B8">
      <w:pPr>
        <w:pStyle w:val="Heading2"/>
        <w:shd w:val="clear" w:color="auto" w:fill="FFFFFF" w:themeFill="background1"/>
        <w:spacing w:before="0"/>
        <w:rPr>
          <w:rFonts w:asciiTheme="minorHAnsi" w:hAnsiTheme="minorHAnsi" w:cstheme="minorHAnsi"/>
          <w:sz w:val="24"/>
          <w:szCs w:val="24"/>
        </w:rPr>
      </w:pPr>
    </w:p>
    <w:p w14:paraId="3428D4FF" w14:textId="77777777" w:rsidR="00F825B8" w:rsidRPr="0095739B" w:rsidRDefault="00F825B8" w:rsidP="00F825B8">
      <w:pPr>
        <w:pStyle w:val="Heading2"/>
        <w:shd w:val="clear" w:color="auto" w:fill="FFFFFF" w:themeFill="background1"/>
        <w:spacing w:before="0"/>
        <w:rPr>
          <w:rFonts w:asciiTheme="minorHAnsi" w:hAnsiTheme="minorHAnsi" w:cstheme="minorHAnsi"/>
          <w:sz w:val="24"/>
          <w:szCs w:val="24"/>
        </w:rPr>
      </w:pPr>
      <w:r w:rsidRPr="0095739B">
        <w:rPr>
          <w:rFonts w:asciiTheme="minorHAnsi" w:hAnsiTheme="minorHAnsi" w:cstheme="minorHAnsi"/>
          <w:sz w:val="24"/>
          <w:szCs w:val="24"/>
        </w:rPr>
        <w:t>Building on Success</w:t>
      </w:r>
    </w:p>
    <w:p w14:paraId="1D800258" w14:textId="77777777" w:rsidR="00B27A97" w:rsidRPr="00B27A97" w:rsidRDefault="00B27A97" w:rsidP="00B27A97">
      <w:bookmarkStart w:id="0" w:name="_Hlk21511124"/>
      <w:r>
        <w:t>The Hamilton Health will build on existing programs and successes in the following areas:</w:t>
      </w:r>
    </w:p>
    <w:p w14:paraId="52E6BD4A" w14:textId="77777777" w:rsidR="00927AA6" w:rsidRPr="00927AA6" w:rsidRDefault="00927AA6" w:rsidP="00927AA6">
      <w:pPr>
        <w:rPr>
          <w:i/>
          <w:color w:val="4F81BD" w:themeColor="accent1"/>
        </w:rPr>
      </w:pPr>
      <w:r w:rsidRPr="00927AA6">
        <w:rPr>
          <w:i/>
          <w:color w:val="4F81BD" w:themeColor="accent1"/>
        </w:rPr>
        <w:t>Primary Care Engagement</w:t>
      </w:r>
    </w:p>
    <w:p w14:paraId="78F8991F" w14:textId="77777777" w:rsidR="00B27A97" w:rsidRDefault="00B27A97" w:rsidP="00B27A97">
      <w:pPr>
        <w:pStyle w:val="ListParagraph"/>
        <w:numPr>
          <w:ilvl w:val="0"/>
          <w:numId w:val="11"/>
        </w:numPr>
      </w:pPr>
      <w:r>
        <w:t>Continuing to engage with t</w:t>
      </w:r>
      <w:r w:rsidR="009F1896">
        <w:t xml:space="preserve">he two largest Family Health Teams in Hamilton (McMaster FHT and Hamilton FHT) </w:t>
      </w:r>
      <w:r>
        <w:t xml:space="preserve">which </w:t>
      </w:r>
      <w:r w:rsidR="009F1896">
        <w:t>have provided significant support in development of the plan and will continue to provide support through implementation and collaboration by physicians and providers within their teams.</w:t>
      </w:r>
    </w:p>
    <w:p w14:paraId="741720E9" w14:textId="77777777" w:rsidR="009F1896" w:rsidRDefault="00B27A97" w:rsidP="00B27A97">
      <w:pPr>
        <w:pStyle w:val="ListParagraph"/>
        <w:numPr>
          <w:ilvl w:val="0"/>
          <w:numId w:val="11"/>
        </w:numPr>
      </w:pPr>
      <w:r>
        <w:t xml:space="preserve">Leveraging leadership of </w:t>
      </w:r>
      <w:r w:rsidR="009F1896">
        <w:t xml:space="preserve">a broader network of organizations providing primary care with expertise in </w:t>
      </w:r>
      <w:r w:rsidR="00835758">
        <w:t>I</w:t>
      </w:r>
      <w:r w:rsidR="009F1896">
        <w:t xml:space="preserve">ndigenous, francophone, refugee and shelter health.  </w:t>
      </w:r>
    </w:p>
    <w:p w14:paraId="36568527" w14:textId="77777777" w:rsidR="00835758" w:rsidRDefault="00835758" w:rsidP="00B27A97">
      <w:pPr>
        <w:pStyle w:val="ListParagraph"/>
        <w:numPr>
          <w:ilvl w:val="0"/>
          <w:numId w:val="11"/>
        </w:numPr>
      </w:pPr>
      <w:r>
        <w:t>Further engaging with a broader spectrum of primary care physicians across the community.</w:t>
      </w:r>
    </w:p>
    <w:p w14:paraId="303F0269" w14:textId="77777777" w:rsidR="00F825B8" w:rsidRPr="00640D46" w:rsidRDefault="00F825B8" w:rsidP="00F825B8">
      <w:pPr>
        <w:rPr>
          <w:i/>
          <w:color w:val="365F91" w:themeColor="accent1" w:themeShade="BF"/>
          <w:sz w:val="24"/>
          <w:szCs w:val="24"/>
        </w:rPr>
      </w:pPr>
      <w:r w:rsidRPr="00640D46">
        <w:rPr>
          <w:i/>
          <w:color w:val="365F91" w:themeColor="accent1" w:themeShade="BF"/>
          <w:sz w:val="24"/>
          <w:szCs w:val="24"/>
        </w:rPr>
        <w:t xml:space="preserve">Integrated </w:t>
      </w:r>
      <w:r w:rsidR="00F56D77">
        <w:rPr>
          <w:i/>
          <w:color w:val="365F91" w:themeColor="accent1" w:themeShade="BF"/>
          <w:sz w:val="24"/>
          <w:szCs w:val="24"/>
        </w:rPr>
        <w:t>Patient Care Initiatives</w:t>
      </w:r>
    </w:p>
    <w:p w14:paraId="7C4C366E" w14:textId="77777777" w:rsidR="00F825B8" w:rsidRDefault="00B27A97" w:rsidP="00F825B8">
      <w:pPr>
        <w:pStyle w:val="ListParagraph"/>
        <w:numPr>
          <w:ilvl w:val="0"/>
          <w:numId w:val="9"/>
        </w:numPr>
        <w:tabs>
          <w:tab w:val="num" w:pos="720"/>
        </w:tabs>
        <w:rPr>
          <w:rFonts w:asciiTheme="minorHAnsi" w:hAnsiTheme="minorHAnsi" w:cstheme="minorHAnsi"/>
        </w:rPr>
      </w:pPr>
      <w:r>
        <w:rPr>
          <w:rFonts w:asciiTheme="minorHAnsi" w:hAnsiTheme="minorHAnsi" w:cstheme="minorHAnsi"/>
        </w:rPr>
        <w:t>I</w:t>
      </w:r>
      <w:r w:rsidR="00F825B8" w:rsidRPr="00061F31">
        <w:rPr>
          <w:rFonts w:asciiTheme="minorHAnsi" w:hAnsiTheme="minorHAnsi" w:cstheme="minorHAnsi"/>
        </w:rPr>
        <w:t>ntegrati</w:t>
      </w:r>
      <w:r>
        <w:rPr>
          <w:rFonts w:asciiTheme="minorHAnsi" w:hAnsiTheme="minorHAnsi" w:cstheme="minorHAnsi"/>
        </w:rPr>
        <w:t>ng</w:t>
      </w:r>
      <w:r w:rsidR="00F825B8" w:rsidRPr="00061F31">
        <w:rPr>
          <w:rFonts w:asciiTheme="minorHAnsi" w:hAnsiTheme="minorHAnsi" w:cstheme="minorHAnsi"/>
        </w:rPr>
        <w:t xml:space="preserve"> and better coordin</w:t>
      </w:r>
      <w:r>
        <w:rPr>
          <w:rFonts w:asciiTheme="minorHAnsi" w:hAnsiTheme="minorHAnsi" w:cstheme="minorHAnsi"/>
        </w:rPr>
        <w:t>ating</w:t>
      </w:r>
      <w:r w:rsidR="00F825B8" w:rsidRPr="00061F31">
        <w:rPr>
          <w:rFonts w:asciiTheme="minorHAnsi" w:hAnsiTheme="minorHAnsi" w:cstheme="minorHAnsi"/>
        </w:rPr>
        <w:t xml:space="preserve"> of health and social services (housing, long-term care, in-home support services) to proactively support this population. </w:t>
      </w:r>
    </w:p>
    <w:p w14:paraId="12D11452" w14:textId="77777777" w:rsidR="00F825B8" w:rsidRDefault="00B27A97" w:rsidP="00F825B8">
      <w:pPr>
        <w:pStyle w:val="ListParagraph"/>
        <w:numPr>
          <w:ilvl w:val="0"/>
          <w:numId w:val="9"/>
        </w:numPr>
        <w:tabs>
          <w:tab w:val="num" w:pos="720"/>
        </w:tabs>
        <w:rPr>
          <w:rFonts w:asciiTheme="minorHAnsi" w:hAnsiTheme="minorHAnsi" w:cstheme="minorHAnsi"/>
        </w:rPr>
      </w:pPr>
      <w:r>
        <w:rPr>
          <w:rFonts w:asciiTheme="minorHAnsi" w:hAnsiTheme="minorHAnsi" w:cstheme="minorHAnsi"/>
        </w:rPr>
        <w:t>E</w:t>
      </w:r>
      <w:r w:rsidR="00F825B8">
        <w:rPr>
          <w:rFonts w:asciiTheme="minorHAnsi" w:hAnsiTheme="minorHAnsi" w:cstheme="minorHAnsi"/>
        </w:rPr>
        <w:t xml:space="preserve">xpanding on </w:t>
      </w:r>
      <w:r w:rsidR="00F825B8" w:rsidRPr="00061F31">
        <w:rPr>
          <w:rFonts w:asciiTheme="minorHAnsi" w:hAnsiTheme="minorHAnsi" w:cstheme="minorHAnsi"/>
        </w:rPr>
        <w:t xml:space="preserve">integrated care delivery success such as the Hospitals 2 Home </w:t>
      </w:r>
      <w:r w:rsidR="00F825B8" w:rsidRPr="0006022F">
        <w:rPr>
          <w:rFonts w:asciiTheme="minorHAnsi" w:hAnsiTheme="minorHAnsi" w:cstheme="minorHAnsi"/>
        </w:rPr>
        <w:t>initiative</w:t>
      </w:r>
      <w:r w:rsidR="00F825B8">
        <w:rPr>
          <w:rFonts w:asciiTheme="minorHAnsi" w:hAnsiTheme="minorHAnsi" w:cstheme="minorHAnsi"/>
        </w:rPr>
        <w:t xml:space="preserve">, and Integrated Comprehensive Care success </w:t>
      </w:r>
      <w:r w:rsidR="00F825B8" w:rsidRPr="0006022F">
        <w:rPr>
          <w:rFonts w:asciiTheme="minorHAnsi" w:hAnsiTheme="minorHAnsi" w:cstheme="minorHAnsi"/>
        </w:rPr>
        <w:t>that has been shown to reduce emergency department</w:t>
      </w:r>
      <w:r w:rsidR="00F825B8" w:rsidRPr="00061F31">
        <w:rPr>
          <w:rFonts w:asciiTheme="minorHAnsi" w:hAnsiTheme="minorHAnsi" w:cstheme="minorHAnsi"/>
        </w:rPr>
        <w:t xml:space="preserve"> visits, hospital readmissions, and the number of patients in Alternate Level of Care and most importantly improve overall patient outcomes and satisfaction. </w:t>
      </w:r>
    </w:p>
    <w:bookmarkEnd w:id="0"/>
    <w:p w14:paraId="7A055917" w14:textId="77777777" w:rsidR="00F825B8" w:rsidRPr="00640D46" w:rsidRDefault="00F825B8" w:rsidP="00F825B8">
      <w:pPr>
        <w:tabs>
          <w:tab w:val="num" w:pos="720"/>
        </w:tabs>
        <w:rPr>
          <w:rFonts w:asciiTheme="minorHAnsi" w:hAnsiTheme="minorHAnsi" w:cstheme="minorHAnsi"/>
          <w:i/>
          <w:color w:val="365F91" w:themeColor="accent1" w:themeShade="BF"/>
          <w:sz w:val="24"/>
          <w:szCs w:val="24"/>
        </w:rPr>
      </w:pPr>
      <w:r w:rsidRPr="00640D46">
        <w:rPr>
          <w:rFonts w:asciiTheme="minorHAnsi" w:hAnsiTheme="minorHAnsi" w:cstheme="minorHAnsi"/>
          <w:i/>
          <w:color w:val="365F91" w:themeColor="accent1" w:themeShade="BF"/>
          <w:sz w:val="24"/>
          <w:szCs w:val="24"/>
        </w:rPr>
        <w:t>Digital Solutions</w:t>
      </w:r>
    </w:p>
    <w:p w14:paraId="3A37B640" w14:textId="52687F02" w:rsidR="00F825B8" w:rsidRPr="0006022F" w:rsidRDefault="00B27A97" w:rsidP="00F825B8">
      <w:pPr>
        <w:pStyle w:val="ListParagraph"/>
        <w:numPr>
          <w:ilvl w:val="0"/>
          <w:numId w:val="10"/>
        </w:numPr>
        <w:tabs>
          <w:tab w:val="num" w:pos="720"/>
        </w:tabs>
        <w:rPr>
          <w:rFonts w:asciiTheme="minorHAnsi" w:hAnsiTheme="minorHAnsi" w:cstheme="minorHAnsi"/>
        </w:rPr>
      </w:pPr>
      <w:r>
        <w:rPr>
          <w:rFonts w:asciiTheme="minorHAnsi" w:hAnsiTheme="minorHAnsi" w:cstheme="minorHAnsi"/>
        </w:rPr>
        <w:t>L</w:t>
      </w:r>
      <w:r w:rsidR="00F825B8" w:rsidRPr="0006022F">
        <w:rPr>
          <w:rFonts w:asciiTheme="minorHAnsi" w:hAnsiTheme="minorHAnsi" w:cstheme="minorHAnsi"/>
        </w:rPr>
        <w:t>everaging virtual care solutions to improve access for targeted patient populations, includ</w:t>
      </w:r>
      <w:r w:rsidR="00796E45">
        <w:rPr>
          <w:rFonts w:asciiTheme="minorHAnsi" w:hAnsiTheme="minorHAnsi" w:cstheme="minorHAnsi"/>
        </w:rPr>
        <w:t>ing Mental Health and Addiction.</w:t>
      </w:r>
    </w:p>
    <w:p w14:paraId="06578880" w14:textId="5FC78D6B" w:rsidR="00F825B8" w:rsidRDefault="00B27A97" w:rsidP="00F825B8">
      <w:pPr>
        <w:pStyle w:val="ListParagraph"/>
        <w:numPr>
          <w:ilvl w:val="0"/>
          <w:numId w:val="10"/>
        </w:numPr>
        <w:tabs>
          <w:tab w:val="num" w:pos="720"/>
        </w:tabs>
        <w:rPr>
          <w:rFonts w:asciiTheme="minorHAnsi" w:hAnsiTheme="minorHAnsi" w:cstheme="minorHAnsi"/>
        </w:rPr>
      </w:pPr>
      <w:r>
        <w:rPr>
          <w:rFonts w:asciiTheme="minorHAnsi" w:hAnsiTheme="minorHAnsi" w:cstheme="minorHAnsi"/>
        </w:rPr>
        <w:t>E</w:t>
      </w:r>
      <w:r w:rsidR="00F825B8" w:rsidRPr="00061F31">
        <w:rPr>
          <w:rFonts w:asciiTheme="minorHAnsi" w:hAnsiTheme="minorHAnsi" w:cstheme="minorHAnsi"/>
        </w:rPr>
        <w:t>xpand</w:t>
      </w:r>
      <w:r w:rsidR="00F825B8">
        <w:rPr>
          <w:rFonts w:asciiTheme="minorHAnsi" w:hAnsiTheme="minorHAnsi" w:cstheme="minorHAnsi"/>
        </w:rPr>
        <w:t>ing</w:t>
      </w:r>
      <w:r w:rsidR="00F825B8" w:rsidRPr="00061F31">
        <w:rPr>
          <w:rFonts w:asciiTheme="minorHAnsi" w:hAnsiTheme="minorHAnsi" w:cstheme="minorHAnsi"/>
        </w:rPr>
        <w:t xml:space="preserve"> remote monitoring for complex older adults post-discharge</w:t>
      </w:r>
      <w:r w:rsidR="00796E45">
        <w:rPr>
          <w:rFonts w:asciiTheme="minorHAnsi" w:hAnsiTheme="minorHAnsi" w:cstheme="minorHAnsi"/>
        </w:rPr>
        <w:t>.</w:t>
      </w:r>
    </w:p>
    <w:p w14:paraId="671C4268" w14:textId="77777777" w:rsidR="00F825B8" w:rsidRDefault="00F825B8" w:rsidP="00383DE0">
      <w:pPr>
        <w:tabs>
          <w:tab w:val="num" w:pos="720"/>
        </w:tabs>
        <w:rPr>
          <w:rFonts w:asciiTheme="minorHAnsi" w:hAnsiTheme="minorHAnsi"/>
          <w:b/>
          <w:bCs/>
          <w:color w:val="4F81BD" w:themeColor="accent1"/>
          <w:sz w:val="24"/>
          <w:szCs w:val="24"/>
          <w:lang w:val="en-CA"/>
        </w:rPr>
      </w:pPr>
    </w:p>
    <w:p w14:paraId="422C7A8E" w14:textId="77777777" w:rsidR="00F825B8" w:rsidRPr="00DD4A7A" w:rsidRDefault="00F825B8" w:rsidP="00F825B8">
      <w:pPr>
        <w:pStyle w:val="Heading2"/>
        <w:spacing w:before="0"/>
        <w:rPr>
          <w:rFonts w:asciiTheme="minorHAnsi" w:hAnsiTheme="minorHAnsi" w:cstheme="minorHAnsi"/>
          <w:sz w:val="24"/>
          <w:szCs w:val="24"/>
        </w:rPr>
      </w:pPr>
      <w:r w:rsidRPr="00DD4A7A">
        <w:rPr>
          <w:rFonts w:asciiTheme="minorHAnsi" w:hAnsiTheme="minorHAnsi" w:cstheme="minorHAnsi"/>
          <w:sz w:val="24"/>
          <w:szCs w:val="24"/>
        </w:rPr>
        <w:t>Six focus</w:t>
      </w:r>
      <w:r>
        <w:rPr>
          <w:rFonts w:asciiTheme="minorHAnsi" w:hAnsiTheme="minorHAnsi" w:cstheme="minorHAnsi"/>
          <w:sz w:val="24"/>
          <w:szCs w:val="24"/>
        </w:rPr>
        <w:t xml:space="preserve">ed working groups developed </w:t>
      </w:r>
      <w:r w:rsidRPr="00DD4A7A">
        <w:rPr>
          <w:rFonts w:asciiTheme="minorHAnsi" w:hAnsiTheme="minorHAnsi" w:cstheme="minorHAnsi"/>
          <w:sz w:val="24"/>
          <w:szCs w:val="24"/>
        </w:rPr>
        <w:t>the full submission:</w:t>
      </w:r>
    </w:p>
    <w:p w14:paraId="3F666D35" w14:textId="77777777" w:rsidR="00F825B8" w:rsidRPr="00DD4A7A" w:rsidRDefault="00F825B8" w:rsidP="00F825B8">
      <w:pPr>
        <w:numPr>
          <w:ilvl w:val="1"/>
          <w:numId w:val="2"/>
        </w:numPr>
        <w:tabs>
          <w:tab w:val="num" w:pos="1440"/>
        </w:tabs>
        <w:rPr>
          <w:rFonts w:asciiTheme="minorHAnsi" w:hAnsiTheme="minorHAnsi"/>
          <w:lang w:val="en-CA"/>
        </w:rPr>
        <w:sectPr w:rsidR="00F825B8" w:rsidRPr="00DD4A7A" w:rsidSect="000D1754">
          <w:type w:val="continuous"/>
          <w:pgSz w:w="12240" w:h="15840"/>
          <w:pgMar w:top="1440" w:right="1080" w:bottom="1080" w:left="1080" w:header="706" w:footer="706" w:gutter="0"/>
          <w:cols w:space="708"/>
          <w:docGrid w:linePitch="360"/>
        </w:sectPr>
      </w:pPr>
    </w:p>
    <w:p w14:paraId="57785901" w14:textId="77777777" w:rsidR="00F825B8" w:rsidRPr="00DD4A7A" w:rsidRDefault="00F825B8" w:rsidP="00F825B8">
      <w:pPr>
        <w:numPr>
          <w:ilvl w:val="1"/>
          <w:numId w:val="2"/>
        </w:numPr>
        <w:tabs>
          <w:tab w:val="num" w:pos="1440"/>
        </w:tabs>
        <w:rPr>
          <w:rFonts w:asciiTheme="minorHAnsi" w:hAnsiTheme="minorHAnsi"/>
        </w:rPr>
      </w:pPr>
      <w:r w:rsidRPr="00DD4A7A">
        <w:rPr>
          <w:rFonts w:asciiTheme="minorHAnsi" w:hAnsiTheme="minorHAnsi"/>
          <w:lang w:val="en-CA"/>
        </w:rPr>
        <w:t>Governance</w:t>
      </w:r>
    </w:p>
    <w:p w14:paraId="3EFB5188" w14:textId="77777777" w:rsidR="00F825B8" w:rsidRPr="00DD4A7A" w:rsidRDefault="00F825B8" w:rsidP="00F825B8">
      <w:pPr>
        <w:numPr>
          <w:ilvl w:val="1"/>
          <w:numId w:val="2"/>
        </w:numPr>
        <w:tabs>
          <w:tab w:val="num" w:pos="1440"/>
        </w:tabs>
        <w:rPr>
          <w:rFonts w:asciiTheme="minorHAnsi" w:hAnsiTheme="minorHAnsi"/>
        </w:rPr>
      </w:pPr>
      <w:r w:rsidRPr="00DD4A7A">
        <w:rPr>
          <w:rFonts w:asciiTheme="minorHAnsi" w:hAnsiTheme="minorHAnsi"/>
          <w:lang w:val="en-CA"/>
        </w:rPr>
        <w:t>Digital</w:t>
      </w:r>
    </w:p>
    <w:p w14:paraId="4A73A3E6" w14:textId="77777777" w:rsidR="00F825B8" w:rsidRPr="00DD4A7A" w:rsidRDefault="00F825B8" w:rsidP="00F825B8">
      <w:pPr>
        <w:numPr>
          <w:ilvl w:val="1"/>
          <w:numId w:val="2"/>
        </w:numPr>
        <w:tabs>
          <w:tab w:val="num" w:pos="1440"/>
        </w:tabs>
        <w:rPr>
          <w:rFonts w:asciiTheme="minorHAnsi" w:hAnsiTheme="minorHAnsi"/>
        </w:rPr>
      </w:pPr>
      <w:r w:rsidRPr="00DD4A7A">
        <w:rPr>
          <w:rFonts w:asciiTheme="minorHAnsi" w:hAnsiTheme="minorHAnsi"/>
          <w:lang w:val="en-CA"/>
        </w:rPr>
        <w:t>Child and Youth Mental Health and Addictions</w:t>
      </w:r>
    </w:p>
    <w:p w14:paraId="5163920F" w14:textId="77777777" w:rsidR="00F825B8" w:rsidRPr="00DD4A7A" w:rsidRDefault="00F825B8" w:rsidP="00F825B8">
      <w:pPr>
        <w:numPr>
          <w:ilvl w:val="1"/>
          <w:numId w:val="2"/>
        </w:numPr>
        <w:tabs>
          <w:tab w:val="num" w:pos="1440"/>
        </w:tabs>
        <w:rPr>
          <w:rFonts w:asciiTheme="minorHAnsi" w:hAnsiTheme="minorHAnsi"/>
        </w:rPr>
      </w:pPr>
      <w:r w:rsidRPr="00DD4A7A">
        <w:rPr>
          <w:rFonts w:asciiTheme="minorHAnsi" w:hAnsiTheme="minorHAnsi"/>
          <w:lang w:val="en-CA"/>
        </w:rPr>
        <w:t>Adult Mental Health and Addictions</w:t>
      </w:r>
    </w:p>
    <w:p w14:paraId="73E72BAD" w14:textId="77777777" w:rsidR="00F825B8" w:rsidRPr="00DD4A7A" w:rsidRDefault="00F825B8" w:rsidP="00F825B8">
      <w:pPr>
        <w:numPr>
          <w:ilvl w:val="1"/>
          <w:numId w:val="2"/>
        </w:numPr>
        <w:tabs>
          <w:tab w:val="num" w:pos="1440"/>
        </w:tabs>
        <w:rPr>
          <w:rFonts w:asciiTheme="minorHAnsi" w:hAnsiTheme="minorHAnsi"/>
        </w:rPr>
      </w:pPr>
      <w:r w:rsidRPr="00DD4A7A">
        <w:rPr>
          <w:rFonts w:asciiTheme="minorHAnsi" w:hAnsiTheme="minorHAnsi"/>
          <w:lang w:val="en-CA"/>
        </w:rPr>
        <w:t>Older Adults with Multiple Chronic Conditions</w:t>
      </w:r>
    </w:p>
    <w:p w14:paraId="06839113" w14:textId="77777777" w:rsidR="00F825B8" w:rsidRPr="00F825B8" w:rsidRDefault="00F825B8" w:rsidP="00F825B8">
      <w:pPr>
        <w:numPr>
          <w:ilvl w:val="1"/>
          <w:numId w:val="2"/>
        </w:numPr>
        <w:tabs>
          <w:tab w:val="num" w:pos="1440"/>
        </w:tabs>
        <w:rPr>
          <w:rFonts w:asciiTheme="minorHAnsi" w:hAnsiTheme="minorHAnsi"/>
        </w:rPr>
        <w:sectPr w:rsidR="00F825B8" w:rsidRPr="00F825B8" w:rsidSect="000D1754">
          <w:type w:val="continuous"/>
          <w:pgSz w:w="12240" w:h="15840"/>
          <w:pgMar w:top="1440" w:right="1080" w:bottom="1080" w:left="1080" w:header="706" w:footer="706" w:gutter="0"/>
          <w:cols w:num="2" w:space="708"/>
          <w:docGrid w:linePitch="360"/>
        </w:sectPr>
      </w:pPr>
      <w:r w:rsidRPr="00DD4A7A">
        <w:rPr>
          <w:rFonts w:asciiTheme="minorHAnsi" w:hAnsiTheme="minorHAnsi"/>
          <w:lang w:val="en-CA"/>
        </w:rPr>
        <w:t>Home and Community Care</w:t>
      </w:r>
    </w:p>
    <w:p w14:paraId="006137E2" w14:textId="77777777" w:rsidR="00F825B8" w:rsidRDefault="00F825B8" w:rsidP="00383DE0">
      <w:pPr>
        <w:tabs>
          <w:tab w:val="num" w:pos="720"/>
        </w:tabs>
        <w:rPr>
          <w:rFonts w:asciiTheme="minorHAnsi" w:hAnsiTheme="minorHAnsi"/>
          <w:b/>
          <w:bCs/>
          <w:color w:val="4F81BD" w:themeColor="accent1"/>
          <w:sz w:val="24"/>
          <w:szCs w:val="24"/>
          <w:lang w:val="en-CA"/>
        </w:rPr>
      </w:pPr>
    </w:p>
    <w:p w14:paraId="2CA99280" w14:textId="77777777" w:rsidR="00F825B8" w:rsidRPr="002369EB" w:rsidRDefault="00F825B8" w:rsidP="00F825B8">
      <w:pPr>
        <w:rPr>
          <w:rFonts w:asciiTheme="minorHAnsi" w:hAnsiTheme="minorHAnsi"/>
          <w:b/>
          <w:bCs/>
          <w:color w:val="4F81BD" w:themeColor="accent1"/>
          <w:sz w:val="24"/>
          <w:szCs w:val="24"/>
          <w:lang w:val="en-CA"/>
        </w:rPr>
      </w:pPr>
      <w:r w:rsidRPr="002369EB">
        <w:rPr>
          <w:rFonts w:asciiTheme="minorHAnsi" w:hAnsiTheme="minorHAnsi"/>
          <w:b/>
          <w:bCs/>
          <w:color w:val="4F81BD" w:themeColor="accent1"/>
          <w:sz w:val="24"/>
          <w:szCs w:val="24"/>
          <w:lang w:val="en-CA"/>
        </w:rPr>
        <w:t xml:space="preserve">Governance </w:t>
      </w:r>
    </w:p>
    <w:p w14:paraId="0065F13A" w14:textId="77777777" w:rsidR="00F825B8" w:rsidRDefault="000A0106" w:rsidP="00311172">
      <w:r>
        <w:t xml:space="preserve">The interim leadership structure that was put in place to prepare the submission will continue </w:t>
      </w:r>
      <w:r w:rsidR="00494DBC">
        <w:t xml:space="preserve">into Year 1 and be further developed. </w:t>
      </w:r>
      <w:r w:rsidR="00311172" w:rsidRPr="00420231">
        <w:t xml:space="preserve">All levels of the HHT governance structure </w:t>
      </w:r>
      <w:r w:rsidR="00311172">
        <w:t>will continue to include health system leaders, physicians and clinician leaders</w:t>
      </w:r>
      <w:r w:rsidR="00494DBC">
        <w:t>,</w:t>
      </w:r>
      <w:r w:rsidR="00311172" w:rsidRPr="00420231">
        <w:t xml:space="preserve"> and patient</w:t>
      </w:r>
      <w:r w:rsidR="00494DBC">
        <w:t xml:space="preserve"> participants</w:t>
      </w:r>
      <w:r w:rsidR="00311172" w:rsidRPr="00420231">
        <w:t>.</w:t>
      </w:r>
      <w:r w:rsidR="00311172">
        <w:t xml:space="preserve"> As teams evolve, governance and leadership structures will evolve to address the needs of the HHT, member organizations, and community.</w:t>
      </w:r>
      <w:r w:rsidR="00494DBC">
        <w:t xml:space="preserve"> </w:t>
      </w:r>
      <w:r w:rsidR="00311172">
        <w:t>Four distinct groups will carry the governance forward:</w:t>
      </w:r>
    </w:p>
    <w:p w14:paraId="61E3ECD3" w14:textId="77777777" w:rsidR="00927AA6" w:rsidRDefault="00F825B8" w:rsidP="00311172">
      <w:pPr>
        <w:spacing w:line="276" w:lineRule="auto"/>
      </w:pPr>
      <w:r w:rsidRPr="00311172">
        <w:rPr>
          <w:b/>
        </w:rPr>
        <w:t>Executive Committee</w:t>
      </w:r>
      <w:r w:rsidR="00927AA6">
        <w:rPr>
          <w:b/>
        </w:rPr>
        <w:t>:</w:t>
      </w:r>
      <w:r w:rsidR="00927AA6">
        <w:t xml:space="preserve"> support timely decision making and performance monitoring</w:t>
      </w:r>
    </w:p>
    <w:p w14:paraId="000141AF" w14:textId="77777777" w:rsidR="00927AA6" w:rsidRDefault="00F825B8" w:rsidP="00311172">
      <w:pPr>
        <w:spacing w:line="276" w:lineRule="auto"/>
      </w:pPr>
      <w:r w:rsidRPr="00311172">
        <w:rPr>
          <w:b/>
        </w:rPr>
        <w:t>Partnership Council</w:t>
      </w:r>
      <w:r w:rsidR="00927AA6">
        <w:rPr>
          <w:b/>
        </w:rPr>
        <w:t xml:space="preserve">: </w:t>
      </w:r>
      <w:r w:rsidR="00494DBC">
        <w:t>d</w:t>
      </w:r>
      <w:r w:rsidR="00927AA6">
        <w:t>rive overall vision and direction</w:t>
      </w:r>
    </w:p>
    <w:p w14:paraId="4B418F12" w14:textId="77777777" w:rsidR="00927AA6" w:rsidRDefault="00F825B8" w:rsidP="00311172">
      <w:pPr>
        <w:spacing w:line="276" w:lineRule="auto"/>
      </w:pPr>
      <w:r w:rsidRPr="00311172">
        <w:rPr>
          <w:b/>
        </w:rPr>
        <w:t>Oversight and Coordination Secretariat</w:t>
      </w:r>
      <w:r w:rsidR="00927AA6">
        <w:rPr>
          <w:b/>
        </w:rPr>
        <w:t>:</w:t>
      </w:r>
      <w:r w:rsidR="00927AA6">
        <w:t xml:space="preserve"> support the project management office and manage process</w:t>
      </w:r>
    </w:p>
    <w:p w14:paraId="2D1A7DBC" w14:textId="77777777" w:rsidR="00927AA6" w:rsidRDefault="00F825B8" w:rsidP="00311172">
      <w:pPr>
        <w:spacing w:line="276" w:lineRule="auto"/>
      </w:pPr>
      <w:r w:rsidRPr="00311172">
        <w:rPr>
          <w:b/>
        </w:rPr>
        <w:t>Working Groups</w:t>
      </w:r>
      <w:r w:rsidR="00927AA6">
        <w:rPr>
          <w:b/>
        </w:rPr>
        <w:t>:</w:t>
      </w:r>
      <w:r w:rsidRPr="00420231">
        <w:t xml:space="preserve"> </w:t>
      </w:r>
      <w:r w:rsidR="00927AA6">
        <w:t>develop specific plans related to Year 1 goals</w:t>
      </w:r>
    </w:p>
    <w:p w14:paraId="6C564E9D" w14:textId="77777777" w:rsidR="00311172" w:rsidRDefault="00311172" w:rsidP="00311172">
      <w:pPr>
        <w:spacing w:line="276" w:lineRule="auto"/>
      </w:pPr>
    </w:p>
    <w:p w14:paraId="4612DB84" w14:textId="77777777" w:rsidR="00383DE0" w:rsidRDefault="00685065" w:rsidP="00577E22">
      <w:pPr>
        <w:pStyle w:val="Heading2"/>
        <w:spacing w:before="0"/>
        <w:rPr>
          <w:rFonts w:asciiTheme="minorHAnsi" w:hAnsiTheme="minorHAnsi" w:cstheme="minorHAnsi"/>
          <w:sz w:val="24"/>
          <w:szCs w:val="24"/>
        </w:rPr>
      </w:pPr>
      <w:r>
        <w:rPr>
          <w:rFonts w:asciiTheme="minorHAnsi" w:hAnsiTheme="minorHAnsi" w:cstheme="minorHAnsi"/>
          <w:sz w:val="24"/>
          <w:szCs w:val="24"/>
        </w:rPr>
        <w:t>Continuing care for all</w:t>
      </w:r>
    </w:p>
    <w:p w14:paraId="5C7C21CE" w14:textId="77777777" w:rsidR="00577E22" w:rsidRPr="00577E22" w:rsidRDefault="00764866" w:rsidP="00577E22">
      <w:r>
        <w:t>Alongside of the work of the HHT, m</w:t>
      </w:r>
      <w:r w:rsidR="00685065" w:rsidRPr="001777C6">
        <w:t xml:space="preserve">ember organizations and service providers </w:t>
      </w:r>
      <w:r>
        <w:t>are</w:t>
      </w:r>
      <w:r w:rsidR="00685065" w:rsidRPr="001777C6">
        <w:t xml:space="preserve"> </w:t>
      </w:r>
      <w:r>
        <w:t>committed to pursuing</w:t>
      </w:r>
      <w:r w:rsidR="00685065" w:rsidRPr="001777C6">
        <w:t xml:space="preserve"> strategic initiatives </w:t>
      </w:r>
      <w:r>
        <w:t>to improve the</w:t>
      </w:r>
      <w:r w:rsidR="00685065" w:rsidRPr="001777C6">
        <w:t xml:space="preserve"> health and well-being of </w:t>
      </w:r>
      <w:r>
        <w:t>everyone</w:t>
      </w:r>
      <w:r w:rsidR="00685065" w:rsidRPr="001777C6">
        <w:t xml:space="preserve"> </w:t>
      </w:r>
      <w:r>
        <w:t xml:space="preserve">living </w:t>
      </w:r>
      <w:r w:rsidR="00685065" w:rsidRPr="001777C6">
        <w:t>in our community</w:t>
      </w:r>
      <w:r>
        <w:t>.</w:t>
      </w:r>
    </w:p>
    <w:p w14:paraId="2129C749" w14:textId="77777777" w:rsidR="00F825B8" w:rsidRPr="0076236F" w:rsidRDefault="00F825B8" w:rsidP="00F825B8"/>
    <w:p w14:paraId="5ACF0120" w14:textId="77777777" w:rsidR="00F825B8" w:rsidRPr="00685065" w:rsidRDefault="00F825B8" w:rsidP="00F825B8">
      <w:pPr>
        <w:pStyle w:val="Heading2"/>
        <w:shd w:val="clear" w:color="auto" w:fill="FFFFFF" w:themeFill="background1"/>
        <w:spacing w:before="0"/>
        <w:rPr>
          <w:rFonts w:asciiTheme="minorHAnsi" w:hAnsiTheme="minorHAnsi" w:cstheme="minorHAnsi"/>
          <w:sz w:val="24"/>
          <w:szCs w:val="24"/>
        </w:rPr>
      </w:pPr>
      <w:r w:rsidRPr="00685065">
        <w:rPr>
          <w:rFonts w:asciiTheme="minorHAnsi" w:hAnsiTheme="minorHAnsi" w:cstheme="minorHAnsi"/>
          <w:sz w:val="24"/>
          <w:szCs w:val="24"/>
        </w:rPr>
        <w:t>Timeline</w:t>
      </w:r>
      <w:r w:rsidR="00CD4242">
        <w:rPr>
          <w:rFonts w:asciiTheme="minorHAnsi" w:hAnsiTheme="minorHAnsi" w:cstheme="minorHAnsi"/>
          <w:sz w:val="24"/>
          <w:szCs w:val="24"/>
        </w:rPr>
        <w:t xml:space="preserve"> </w:t>
      </w:r>
    </w:p>
    <w:p w14:paraId="526B1F03" w14:textId="4C3E86F3" w:rsidR="00F825B8" w:rsidRPr="00835758" w:rsidRDefault="00F825B8" w:rsidP="00835758">
      <w:pPr>
        <w:shd w:val="clear" w:color="auto" w:fill="FFFFFF" w:themeFill="background1"/>
        <w:tabs>
          <w:tab w:val="num" w:pos="720"/>
        </w:tabs>
        <w:rPr>
          <w:rFonts w:asciiTheme="minorHAnsi" w:hAnsiTheme="minorHAnsi"/>
        </w:rPr>
      </w:pPr>
      <w:r w:rsidRPr="00835758">
        <w:rPr>
          <w:rFonts w:asciiTheme="minorHAnsi" w:hAnsiTheme="minorHAnsi"/>
          <w:b/>
          <w:bCs/>
          <w:lang w:val="en-CA"/>
        </w:rPr>
        <w:t xml:space="preserve">Submission </w:t>
      </w:r>
      <w:r w:rsidRPr="00835758">
        <w:rPr>
          <w:rFonts w:asciiTheme="minorHAnsi" w:hAnsiTheme="minorHAnsi"/>
          <w:b/>
          <w:lang w:val="en-CA"/>
        </w:rPr>
        <w:t>Deadline</w:t>
      </w:r>
      <w:r w:rsidRPr="00835758">
        <w:rPr>
          <w:rFonts w:asciiTheme="minorHAnsi" w:hAnsiTheme="minorHAnsi"/>
          <w:lang w:val="en-CA"/>
        </w:rPr>
        <w:t>: October 9</w:t>
      </w:r>
      <w:r w:rsidR="00796E45">
        <w:rPr>
          <w:rFonts w:asciiTheme="minorHAnsi" w:hAnsiTheme="minorHAnsi"/>
          <w:lang w:val="en-CA"/>
        </w:rPr>
        <w:t>, 2019</w:t>
      </w:r>
      <w:r w:rsidR="00835758" w:rsidRPr="00835758">
        <w:rPr>
          <w:rFonts w:asciiTheme="minorHAnsi" w:hAnsiTheme="minorHAnsi"/>
          <w:lang w:val="en-CA"/>
        </w:rPr>
        <w:t xml:space="preserve"> </w:t>
      </w:r>
      <w:r w:rsidR="00F60F6C">
        <w:rPr>
          <w:rFonts w:asciiTheme="minorHAnsi" w:hAnsiTheme="minorHAnsi"/>
          <w:lang w:val="en-CA"/>
        </w:rPr>
        <w:t xml:space="preserve">  </w:t>
      </w:r>
      <w:r w:rsidR="00796E45">
        <w:rPr>
          <w:rFonts w:asciiTheme="minorHAnsi" w:hAnsiTheme="minorHAnsi"/>
          <w:lang w:val="en-CA"/>
        </w:rPr>
        <w:tab/>
      </w:r>
      <w:bookmarkStart w:id="1" w:name="_GoBack"/>
      <w:bookmarkEnd w:id="1"/>
      <w:r w:rsidR="00F60F6C">
        <w:rPr>
          <w:rFonts w:asciiTheme="minorHAnsi" w:hAnsiTheme="minorHAnsi"/>
          <w:lang w:val="en-CA"/>
        </w:rPr>
        <w:t xml:space="preserve"> </w:t>
      </w:r>
      <w:r w:rsidRPr="00835758">
        <w:rPr>
          <w:rFonts w:asciiTheme="minorHAnsi" w:hAnsiTheme="minorHAnsi"/>
          <w:b/>
          <w:bCs/>
          <w:lang w:val="en-CA"/>
        </w:rPr>
        <w:t xml:space="preserve">Selection of Ontario Health Team Candidates: </w:t>
      </w:r>
      <w:r w:rsidRPr="00835758">
        <w:rPr>
          <w:rFonts w:asciiTheme="minorHAnsi" w:hAnsiTheme="minorHAnsi"/>
          <w:lang w:val="en-CA"/>
        </w:rPr>
        <w:t>Fall 2019</w:t>
      </w:r>
    </w:p>
    <w:sectPr w:rsidR="00F825B8" w:rsidRPr="00835758" w:rsidSect="000D1754">
      <w:type w:val="continuous"/>
      <w:pgSz w:w="12240" w:h="15840"/>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4020" w14:textId="77777777" w:rsidR="00877ECA" w:rsidRDefault="00877ECA" w:rsidP="00383DE0">
      <w:r>
        <w:separator/>
      </w:r>
    </w:p>
  </w:endnote>
  <w:endnote w:type="continuationSeparator" w:id="0">
    <w:p w14:paraId="21577DB9" w14:textId="77777777" w:rsidR="00877ECA" w:rsidRDefault="00877ECA" w:rsidP="0038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934841"/>
      <w:docPartObj>
        <w:docPartGallery w:val="Page Numbers (Bottom of Page)"/>
        <w:docPartUnique/>
      </w:docPartObj>
    </w:sdtPr>
    <w:sdtEndPr/>
    <w:sdtContent>
      <w:sdt>
        <w:sdtPr>
          <w:id w:val="1728636285"/>
          <w:docPartObj>
            <w:docPartGallery w:val="Page Numbers (Top of Page)"/>
            <w:docPartUnique/>
          </w:docPartObj>
        </w:sdtPr>
        <w:sdtEndPr/>
        <w:sdtContent>
          <w:p w14:paraId="33550562" w14:textId="6A4E2DB0" w:rsidR="00877ECA" w:rsidRDefault="00877E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6E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6E45">
              <w:rPr>
                <w:b/>
                <w:bCs/>
                <w:noProof/>
              </w:rPr>
              <w:t>3</w:t>
            </w:r>
            <w:r>
              <w:rPr>
                <w:b/>
                <w:bCs/>
                <w:sz w:val="24"/>
                <w:szCs w:val="24"/>
              </w:rPr>
              <w:fldChar w:fldCharType="end"/>
            </w:r>
          </w:p>
        </w:sdtContent>
      </w:sdt>
    </w:sdtContent>
  </w:sdt>
  <w:p w14:paraId="5FBC59EA" w14:textId="77777777" w:rsidR="00877ECA" w:rsidRDefault="0087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7A2F" w14:textId="77777777" w:rsidR="00877ECA" w:rsidRDefault="00877ECA" w:rsidP="00383DE0">
      <w:r>
        <w:separator/>
      </w:r>
    </w:p>
  </w:footnote>
  <w:footnote w:type="continuationSeparator" w:id="0">
    <w:p w14:paraId="7A94911E" w14:textId="77777777" w:rsidR="00877ECA" w:rsidRDefault="00877ECA" w:rsidP="0038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95CE" w14:textId="4C6F1411" w:rsidR="00877ECA" w:rsidRDefault="00877ECA">
    <w:pPr>
      <w:pStyle w:val="Header"/>
    </w:pPr>
    <w:r>
      <w:rPr>
        <w:noProof/>
      </w:rPr>
      <mc:AlternateContent>
        <mc:Choice Requires="wps">
          <w:drawing>
            <wp:anchor distT="0" distB="0" distL="114300" distR="114300" simplePos="0" relativeHeight="251659264" behindDoc="0" locked="0" layoutInCell="1" allowOverlap="1" wp14:anchorId="1B901664" wp14:editId="01B7B85F">
              <wp:simplePos x="0" y="0"/>
              <wp:positionH relativeFrom="column">
                <wp:posOffset>-495300</wp:posOffset>
              </wp:positionH>
              <wp:positionV relativeFrom="paragraph">
                <wp:posOffset>112395</wp:posOffset>
              </wp:positionV>
              <wp:extent cx="6896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solidFill>
                        <a:srgbClr val="FFFFFF"/>
                      </a:solidFill>
                      <a:ln w="9525">
                        <a:noFill/>
                        <a:miter lim="800000"/>
                        <a:headEnd/>
                        <a:tailEnd/>
                      </a:ln>
                    </wps:spPr>
                    <wps:txbx>
                      <w:txbxContent>
                        <w:p w14:paraId="0028D747" w14:textId="77777777" w:rsidR="00877ECA" w:rsidRPr="00EE668C" w:rsidRDefault="00877ECA" w:rsidP="00383DE0">
                          <w:pPr>
                            <w:rPr>
                              <w:rFonts w:asciiTheme="minorHAnsi" w:hAnsiTheme="minorHAnsi" w:cstheme="minorHAnsi"/>
                              <w:b/>
                              <w:sz w:val="32"/>
                              <w:szCs w:val="32"/>
                            </w:rPr>
                          </w:pPr>
                          <w:r>
                            <w:rPr>
                              <w:rFonts w:asciiTheme="minorHAnsi" w:hAnsiTheme="minorHAnsi" w:cstheme="minorHAnsi"/>
                              <w:b/>
                              <w:sz w:val="32"/>
                              <w:szCs w:val="32"/>
                            </w:rPr>
                            <w:t xml:space="preserve"> Hamilton Health Team                                                                             Oct. 9</w:t>
                          </w:r>
                          <w:r w:rsidRPr="00EE668C">
                            <w:rPr>
                              <w:rFonts w:asciiTheme="minorHAnsi" w:hAnsiTheme="minorHAnsi" w:cstheme="minorHAnsi"/>
                              <w:b/>
                              <w:sz w:val="32"/>
                              <w:szCs w:val="32"/>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01664" id="_x0000_t202" coordsize="21600,21600" o:spt="202" path="m,l,21600r21600,l21600,xe">
              <v:stroke joinstyle="miter"/>
              <v:path gradientshapeok="t" o:connecttype="rect"/>
            </v:shapetype>
            <v:shape id="Text Box 2" o:spid="_x0000_s1026" type="#_x0000_t202" style="position:absolute;margin-left:-39pt;margin-top:8.85pt;width:5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ZOIgIAAB4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" stroked="f">
              <v:textbox style="mso-fit-shape-to-text:t">
                <w:txbxContent>
                  <w:p w14:paraId="0028D747" w14:textId="77777777" w:rsidR="00877ECA" w:rsidRPr="00EE668C" w:rsidRDefault="00877ECA" w:rsidP="00383DE0">
                    <w:pPr>
                      <w:rPr>
                        <w:rFonts w:asciiTheme="minorHAnsi" w:hAnsiTheme="minorHAnsi" w:cstheme="minorHAnsi"/>
                        <w:b/>
                        <w:sz w:val="32"/>
                        <w:szCs w:val="32"/>
                      </w:rPr>
                    </w:pPr>
                    <w:r>
                      <w:rPr>
                        <w:rFonts w:asciiTheme="minorHAnsi" w:hAnsiTheme="minorHAnsi" w:cstheme="minorHAnsi"/>
                        <w:b/>
                        <w:sz w:val="32"/>
                        <w:szCs w:val="32"/>
                      </w:rPr>
                      <w:t xml:space="preserve"> Hamilton Health Team                                                                             Oct. 9</w:t>
                    </w:r>
                    <w:r w:rsidRPr="00EE668C">
                      <w:rPr>
                        <w:rFonts w:asciiTheme="minorHAnsi" w:hAnsiTheme="minorHAnsi" w:cstheme="minorHAnsi"/>
                        <w:b/>
                        <w:sz w:val="32"/>
                        <w:szCs w:val="32"/>
                      </w:rPr>
                      <w:t xml:space="preserve"> 2019</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1E2"/>
      </v:shape>
    </w:pict>
  </w:numPicBullet>
  <w:abstractNum w:abstractNumId="0" w15:restartNumberingAfterBreak="0">
    <w:nsid w:val="06B57CF1"/>
    <w:multiLevelType w:val="hybridMultilevel"/>
    <w:tmpl w:val="DE8672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D73B22"/>
    <w:multiLevelType w:val="hybridMultilevel"/>
    <w:tmpl w:val="9AF66344"/>
    <w:lvl w:ilvl="0" w:tplc="04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5C2696"/>
    <w:multiLevelType w:val="hybridMultilevel"/>
    <w:tmpl w:val="0C0442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60A0E98"/>
    <w:multiLevelType w:val="hybridMultilevel"/>
    <w:tmpl w:val="3CC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01F97"/>
    <w:multiLevelType w:val="hybridMultilevel"/>
    <w:tmpl w:val="4508DB0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D05687"/>
    <w:multiLevelType w:val="hybridMultilevel"/>
    <w:tmpl w:val="6B4C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AC14C8"/>
    <w:multiLevelType w:val="hybridMultilevel"/>
    <w:tmpl w:val="D5468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B25CC"/>
    <w:multiLevelType w:val="hybridMultilevel"/>
    <w:tmpl w:val="595A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16E2A"/>
    <w:multiLevelType w:val="hybridMultilevel"/>
    <w:tmpl w:val="B044C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140CAE"/>
    <w:multiLevelType w:val="hybridMultilevel"/>
    <w:tmpl w:val="C42E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94164"/>
    <w:multiLevelType w:val="hybridMultilevel"/>
    <w:tmpl w:val="910E5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181B59"/>
    <w:multiLevelType w:val="hybridMultilevel"/>
    <w:tmpl w:val="94C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DC4D8E"/>
    <w:multiLevelType w:val="hybridMultilevel"/>
    <w:tmpl w:val="2FB6A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6E7F23"/>
    <w:multiLevelType w:val="hybridMultilevel"/>
    <w:tmpl w:val="612425AC"/>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4507B"/>
    <w:multiLevelType w:val="hybridMultilevel"/>
    <w:tmpl w:val="6DCEF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9DE3A06"/>
    <w:multiLevelType w:val="hybridMultilevel"/>
    <w:tmpl w:val="52FAA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420E74"/>
    <w:multiLevelType w:val="hybridMultilevel"/>
    <w:tmpl w:val="07D85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F2AE3"/>
    <w:multiLevelType w:val="hybridMultilevel"/>
    <w:tmpl w:val="E00234EC"/>
    <w:lvl w:ilvl="0" w:tplc="C856415C">
      <w:start w:val="1"/>
      <w:numFmt w:val="bullet"/>
      <w:lvlText w:val="•"/>
      <w:lvlJc w:val="left"/>
      <w:pPr>
        <w:tabs>
          <w:tab w:val="num" w:pos="720"/>
        </w:tabs>
        <w:ind w:left="720" w:hanging="360"/>
      </w:pPr>
      <w:rPr>
        <w:rFonts w:ascii="Arial" w:hAnsi="Arial" w:hint="default"/>
      </w:rPr>
    </w:lvl>
    <w:lvl w:ilvl="1" w:tplc="C8CE3654">
      <w:start w:val="1"/>
      <w:numFmt w:val="bullet"/>
      <w:lvlText w:val="•"/>
      <w:lvlJc w:val="left"/>
      <w:pPr>
        <w:tabs>
          <w:tab w:val="num" w:pos="360"/>
        </w:tabs>
        <w:ind w:left="360" w:hanging="360"/>
      </w:pPr>
      <w:rPr>
        <w:rFonts w:ascii="Arial" w:hAnsi="Arial" w:hint="default"/>
      </w:rPr>
    </w:lvl>
    <w:lvl w:ilvl="2" w:tplc="C5F49E28" w:tentative="1">
      <w:start w:val="1"/>
      <w:numFmt w:val="bullet"/>
      <w:lvlText w:val="•"/>
      <w:lvlJc w:val="left"/>
      <w:pPr>
        <w:tabs>
          <w:tab w:val="num" w:pos="2160"/>
        </w:tabs>
        <w:ind w:left="2160" w:hanging="360"/>
      </w:pPr>
      <w:rPr>
        <w:rFonts w:ascii="Arial" w:hAnsi="Arial" w:hint="default"/>
      </w:rPr>
    </w:lvl>
    <w:lvl w:ilvl="3" w:tplc="07628F0E" w:tentative="1">
      <w:start w:val="1"/>
      <w:numFmt w:val="bullet"/>
      <w:lvlText w:val="•"/>
      <w:lvlJc w:val="left"/>
      <w:pPr>
        <w:tabs>
          <w:tab w:val="num" w:pos="2880"/>
        </w:tabs>
        <w:ind w:left="2880" w:hanging="360"/>
      </w:pPr>
      <w:rPr>
        <w:rFonts w:ascii="Arial" w:hAnsi="Arial" w:hint="default"/>
      </w:rPr>
    </w:lvl>
    <w:lvl w:ilvl="4" w:tplc="817E471C" w:tentative="1">
      <w:start w:val="1"/>
      <w:numFmt w:val="bullet"/>
      <w:lvlText w:val="•"/>
      <w:lvlJc w:val="left"/>
      <w:pPr>
        <w:tabs>
          <w:tab w:val="num" w:pos="3600"/>
        </w:tabs>
        <w:ind w:left="3600" w:hanging="360"/>
      </w:pPr>
      <w:rPr>
        <w:rFonts w:ascii="Arial" w:hAnsi="Arial" w:hint="default"/>
      </w:rPr>
    </w:lvl>
    <w:lvl w:ilvl="5" w:tplc="5B624218" w:tentative="1">
      <w:start w:val="1"/>
      <w:numFmt w:val="bullet"/>
      <w:lvlText w:val="•"/>
      <w:lvlJc w:val="left"/>
      <w:pPr>
        <w:tabs>
          <w:tab w:val="num" w:pos="4320"/>
        </w:tabs>
        <w:ind w:left="4320" w:hanging="360"/>
      </w:pPr>
      <w:rPr>
        <w:rFonts w:ascii="Arial" w:hAnsi="Arial" w:hint="default"/>
      </w:rPr>
    </w:lvl>
    <w:lvl w:ilvl="6" w:tplc="0AF23252" w:tentative="1">
      <w:start w:val="1"/>
      <w:numFmt w:val="bullet"/>
      <w:lvlText w:val="•"/>
      <w:lvlJc w:val="left"/>
      <w:pPr>
        <w:tabs>
          <w:tab w:val="num" w:pos="5040"/>
        </w:tabs>
        <w:ind w:left="5040" w:hanging="360"/>
      </w:pPr>
      <w:rPr>
        <w:rFonts w:ascii="Arial" w:hAnsi="Arial" w:hint="default"/>
      </w:rPr>
    </w:lvl>
    <w:lvl w:ilvl="7" w:tplc="BFE2C5F2" w:tentative="1">
      <w:start w:val="1"/>
      <w:numFmt w:val="bullet"/>
      <w:lvlText w:val="•"/>
      <w:lvlJc w:val="left"/>
      <w:pPr>
        <w:tabs>
          <w:tab w:val="num" w:pos="5760"/>
        </w:tabs>
        <w:ind w:left="5760" w:hanging="360"/>
      </w:pPr>
      <w:rPr>
        <w:rFonts w:ascii="Arial" w:hAnsi="Arial" w:hint="default"/>
      </w:rPr>
    </w:lvl>
    <w:lvl w:ilvl="8" w:tplc="512EDC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7F6F18"/>
    <w:multiLevelType w:val="hybridMultilevel"/>
    <w:tmpl w:val="557CC8A8"/>
    <w:lvl w:ilvl="0" w:tplc="93C0CCEA">
      <w:start w:val="1"/>
      <w:numFmt w:val="bullet"/>
      <w:lvlText w:val="•"/>
      <w:lvlJc w:val="left"/>
      <w:pPr>
        <w:tabs>
          <w:tab w:val="num" w:pos="360"/>
        </w:tabs>
        <w:ind w:left="360" w:hanging="360"/>
      </w:pPr>
      <w:rPr>
        <w:rFonts w:ascii="Arial" w:hAnsi="Arial" w:hint="default"/>
      </w:rPr>
    </w:lvl>
    <w:lvl w:ilvl="1" w:tplc="CC58C5D0" w:tentative="1">
      <w:start w:val="1"/>
      <w:numFmt w:val="bullet"/>
      <w:lvlText w:val="•"/>
      <w:lvlJc w:val="left"/>
      <w:pPr>
        <w:tabs>
          <w:tab w:val="num" w:pos="1080"/>
        </w:tabs>
        <w:ind w:left="1080" w:hanging="360"/>
      </w:pPr>
      <w:rPr>
        <w:rFonts w:ascii="Arial" w:hAnsi="Arial" w:hint="default"/>
      </w:rPr>
    </w:lvl>
    <w:lvl w:ilvl="2" w:tplc="56EE583E" w:tentative="1">
      <w:start w:val="1"/>
      <w:numFmt w:val="bullet"/>
      <w:lvlText w:val="•"/>
      <w:lvlJc w:val="left"/>
      <w:pPr>
        <w:tabs>
          <w:tab w:val="num" w:pos="1800"/>
        </w:tabs>
        <w:ind w:left="1800" w:hanging="360"/>
      </w:pPr>
      <w:rPr>
        <w:rFonts w:ascii="Arial" w:hAnsi="Arial" w:hint="default"/>
      </w:rPr>
    </w:lvl>
    <w:lvl w:ilvl="3" w:tplc="C6983E96" w:tentative="1">
      <w:start w:val="1"/>
      <w:numFmt w:val="bullet"/>
      <w:lvlText w:val="•"/>
      <w:lvlJc w:val="left"/>
      <w:pPr>
        <w:tabs>
          <w:tab w:val="num" w:pos="2520"/>
        </w:tabs>
        <w:ind w:left="2520" w:hanging="360"/>
      </w:pPr>
      <w:rPr>
        <w:rFonts w:ascii="Arial" w:hAnsi="Arial" w:hint="default"/>
      </w:rPr>
    </w:lvl>
    <w:lvl w:ilvl="4" w:tplc="913ADA6E" w:tentative="1">
      <w:start w:val="1"/>
      <w:numFmt w:val="bullet"/>
      <w:lvlText w:val="•"/>
      <w:lvlJc w:val="left"/>
      <w:pPr>
        <w:tabs>
          <w:tab w:val="num" w:pos="3240"/>
        </w:tabs>
        <w:ind w:left="3240" w:hanging="360"/>
      </w:pPr>
      <w:rPr>
        <w:rFonts w:ascii="Arial" w:hAnsi="Arial" w:hint="default"/>
      </w:rPr>
    </w:lvl>
    <w:lvl w:ilvl="5" w:tplc="4E5CA994" w:tentative="1">
      <w:start w:val="1"/>
      <w:numFmt w:val="bullet"/>
      <w:lvlText w:val="•"/>
      <w:lvlJc w:val="left"/>
      <w:pPr>
        <w:tabs>
          <w:tab w:val="num" w:pos="3960"/>
        </w:tabs>
        <w:ind w:left="3960" w:hanging="360"/>
      </w:pPr>
      <w:rPr>
        <w:rFonts w:ascii="Arial" w:hAnsi="Arial" w:hint="default"/>
      </w:rPr>
    </w:lvl>
    <w:lvl w:ilvl="6" w:tplc="2548C1D4" w:tentative="1">
      <w:start w:val="1"/>
      <w:numFmt w:val="bullet"/>
      <w:lvlText w:val="•"/>
      <w:lvlJc w:val="left"/>
      <w:pPr>
        <w:tabs>
          <w:tab w:val="num" w:pos="4680"/>
        </w:tabs>
        <w:ind w:left="4680" w:hanging="360"/>
      </w:pPr>
      <w:rPr>
        <w:rFonts w:ascii="Arial" w:hAnsi="Arial" w:hint="default"/>
      </w:rPr>
    </w:lvl>
    <w:lvl w:ilvl="7" w:tplc="6E8EAB96" w:tentative="1">
      <w:start w:val="1"/>
      <w:numFmt w:val="bullet"/>
      <w:lvlText w:val="•"/>
      <w:lvlJc w:val="left"/>
      <w:pPr>
        <w:tabs>
          <w:tab w:val="num" w:pos="5400"/>
        </w:tabs>
        <w:ind w:left="5400" w:hanging="360"/>
      </w:pPr>
      <w:rPr>
        <w:rFonts w:ascii="Arial" w:hAnsi="Arial" w:hint="default"/>
      </w:rPr>
    </w:lvl>
    <w:lvl w:ilvl="8" w:tplc="0E5C4B90" w:tentative="1">
      <w:start w:val="1"/>
      <w:numFmt w:val="bullet"/>
      <w:lvlText w:val="•"/>
      <w:lvlJc w:val="left"/>
      <w:pPr>
        <w:tabs>
          <w:tab w:val="num" w:pos="6120"/>
        </w:tabs>
        <w:ind w:left="6120" w:hanging="360"/>
      </w:pPr>
      <w:rPr>
        <w:rFonts w:ascii="Arial" w:hAnsi="Arial" w:hint="default"/>
      </w:rPr>
    </w:lvl>
  </w:abstractNum>
  <w:num w:numId="1">
    <w:abstractNumId w:val="18"/>
  </w:num>
  <w:num w:numId="2">
    <w:abstractNumId w:val="17"/>
  </w:num>
  <w:num w:numId="3">
    <w:abstractNumId w:val="1"/>
  </w:num>
  <w:num w:numId="4">
    <w:abstractNumId w:val="6"/>
  </w:num>
  <w:num w:numId="5">
    <w:abstractNumId w:val="11"/>
  </w:num>
  <w:num w:numId="6">
    <w:abstractNumId w:val="15"/>
  </w:num>
  <w:num w:numId="7">
    <w:abstractNumId w:val="8"/>
  </w:num>
  <w:num w:numId="8">
    <w:abstractNumId w:val="5"/>
  </w:num>
  <w:num w:numId="9">
    <w:abstractNumId w:val="7"/>
  </w:num>
  <w:num w:numId="10">
    <w:abstractNumId w:val="3"/>
  </w:num>
  <w:num w:numId="11">
    <w:abstractNumId w:val="13"/>
  </w:num>
  <w:num w:numId="12">
    <w:abstractNumId w:val="9"/>
  </w:num>
  <w:num w:numId="13">
    <w:abstractNumId w:val="0"/>
  </w:num>
  <w:num w:numId="14">
    <w:abstractNumId w:val="14"/>
  </w:num>
  <w:num w:numId="15">
    <w:abstractNumId w:val="2"/>
  </w:num>
  <w:num w:numId="16">
    <w:abstractNumId w:val="16"/>
  </w:num>
  <w:num w:numId="17">
    <w:abstractNumId w:val="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E0"/>
    <w:rsid w:val="0001372D"/>
    <w:rsid w:val="000A0106"/>
    <w:rsid w:val="000D1754"/>
    <w:rsid w:val="00311172"/>
    <w:rsid w:val="00335BBF"/>
    <w:rsid w:val="00360846"/>
    <w:rsid w:val="00383DE0"/>
    <w:rsid w:val="00410662"/>
    <w:rsid w:val="00494DBC"/>
    <w:rsid w:val="005170C1"/>
    <w:rsid w:val="00577BDC"/>
    <w:rsid w:val="00577E22"/>
    <w:rsid w:val="00685065"/>
    <w:rsid w:val="006C434A"/>
    <w:rsid w:val="00764866"/>
    <w:rsid w:val="00785559"/>
    <w:rsid w:val="00796E45"/>
    <w:rsid w:val="007F7C92"/>
    <w:rsid w:val="008221A3"/>
    <w:rsid w:val="00835758"/>
    <w:rsid w:val="00877ECA"/>
    <w:rsid w:val="008C73D7"/>
    <w:rsid w:val="008E5100"/>
    <w:rsid w:val="00927AA6"/>
    <w:rsid w:val="0095739B"/>
    <w:rsid w:val="00973B6A"/>
    <w:rsid w:val="009D200B"/>
    <w:rsid w:val="009F1896"/>
    <w:rsid w:val="00B27A97"/>
    <w:rsid w:val="00CC0E53"/>
    <w:rsid w:val="00CD4242"/>
    <w:rsid w:val="00D61397"/>
    <w:rsid w:val="00E6760A"/>
    <w:rsid w:val="00F0384F"/>
    <w:rsid w:val="00F56D77"/>
    <w:rsid w:val="00F60F6C"/>
    <w:rsid w:val="00F8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7D821EC"/>
  <w15:docId w15:val="{5F3F6FF6-A1D8-48F5-9FE3-D1FCC407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E0"/>
    <w:pPr>
      <w:spacing w:after="0" w:line="240" w:lineRule="auto"/>
    </w:pPr>
    <w:rPr>
      <w:rFonts w:ascii="Calibri" w:hAnsi="Calibri" w:cs="Calibri"/>
    </w:rPr>
  </w:style>
  <w:style w:type="paragraph" w:styleId="Heading1">
    <w:name w:val="heading 1"/>
    <w:basedOn w:val="Normal"/>
    <w:next w:val="Normal"/>
    <w:link w:val="Heading1Char"/>
    <w:uiPriority w:val="9"/>
    <w:qFormat/>
    <w:rsid w:val="00383D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3D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D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3D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83DE0"/>
    <w:pPr>
      <w:tabs>
        <w:tab w:val="center" w:pos="4680"/>
        <w:tab w:val="right" w:pos="9360"/>
      </w:tabs>
    </w:pPr>
  </w:style>
  <w:style w:type="character" w:customStyle="1" w:styleId="HeaderChar">
    <w:name w:val="Header Char"/>
    <w:basedOn w:val="DefaultParagraphFont"/>
    <w:link w:val="Header"/>
    <w:uiPriority w:val="99"/>
    <w:rsid w:val="00383DE0"/>
    <w:rPr>
      <w:rFonts w:ascii="Calibri" w:hAnsi="Calibri" w:cs="Calibri"/>
    </w:rPr>
  </w:style>
  <w:style w:type="paragraph" w:styleId="ListParagraph">
    <w:name w:val="List Paragraph"/>
    <w:basedOn w:val="Normal"/>
    <w:uiPriority w:val="34"/>
    <w:qFormat/>
    <w:rsid w:val="00383DE0"/>
    <w:pPr>
      <w:ind w:left="720"/>
      <w:contextualSpacing/>
    </w:pPr>
  </w:style>
  <w:style w:type="character" w:styleId="Hyperlink">
    <w:name w:val="Hyperlink"/>
    <w:basedOn w:val="DefaultParagraphFont"/>
    <w:uiPriority w:val="99"/>
    <w:unhideWhenUsed/>
    <w:rsid w:val="00383DE0"/>
    <w:rPr>
      <w:color w:val="0000FF"/>
      <w:u w:val="single"/>
    </w:rPr>
  </w:style>
  <w:style w:type="paragraph" w:styleId="Footer">
    <w:name w:val="footer"/>
    <w:basedOn w:val="Normal"/>
    <w:link w:val="FooterChar"/>
    <w:uiPriority w:val="99"/>
    <w:unhideWhenUsed/>
    <w:rsid w:val="00383DE0"/>
    <w:pPr>
      <w:tabs>
        <w:tab w:val="center" w:pos="4680"/>
        <w:tab w:val="right" w:pos="9360"/>
      </w:tabs>
    </w:pPr>
  </w:style>
  <w:style w:type="character" w:customStyle="1" w:styleId="FooterChar">
    <w:name w:val="Footer Char"/>
    <w:basedOn w:val="DefaultParagraphFont"/>
    <w:link w:val="Footer"/>
    <w:uiPriority w:val="99"/>
    <w:rsid w:val="00383DE0"/>
    <w:rPr>
      <w:rFonts w:ascii="Calibri" w:hAnsi="Calibri" w:cs="Calibri"/>
    </w:rPr>
  </w:style>
  <w:style w:type="character" w:styleId="CommentReference">
    <w:name w:val="annotation reference"/>
    <w:basedOn w:val="DefaultParagraphFont"/>
    <w:uiPriority w:val="99"/>
    <w:semiHidden/>
    <w:unhideWhenUsed/>
    <w:rsid w:val="00F0384F"/>
    <w:rPr>
      <w:sz w:val="16"/>
      <w:szCs w:val="16"/>
    </w:rPr>
  </w:style>
  <w:style w:type="paragraph" w:styleId="CommentText">
    <w:name w:val="annotation text"/>
    <w:basedOn w:val="Normal"/>
    <w:link w:val="CommentTextChar"/>
    <w:uiPriority w:val="99"/>
    <w:semiHidden/>
    <w:unhideWhenUsed/>
    <w:rsid w:val="00F0384F"/>
    <w:rPr>
      <w:sz w:val="20"/>
      <w:szCs w:val="20"/>
    </w:rPr>
  </w:style>
  <w:style w:type="character" w:customStyle="1" w:styleId="CommentTextChar">
    <w:name w:val="Comment Text Char"/>
    <w:basedOn w:val="DefaultParagraphFont"/>
    <w:link w:val="CommentText"/>
    <w:uiPriority w:val="99"/>
    <w:semiHidden/>
    <w:rsid w:val="00F038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384F"/>
    <w:rPr>
      <w:b/>
      <w:bCs/>
    </w:rPr>
  </w:style>
  <w:style w:type="character" w:customStyle="1" w:styleId="CommentSubjectChar">
    <w:name w:val="Comment Subject Char"/>
    <w:basedOn w:val="CommentTextChar"/>
    <w:link w:val="CommentSubject"/>
    <w:uiPriority w:val="99"/>
    <w:semiHidden/>
    <w:rsid w:val="00F0384F"/>
    <w:rPr>
      <w:rFonts w:ascii="Calibri" w:hAnsi="Calibri" w:cs="Calibri"/>
      <w:b/>
      <w:bCs/>
      <w:sz w:val="20"/>
      <w:szCs w:val="20"/>
    </w:rPr>
  </w:style>
  <w:style w:type="paragraph" w:styleId="BalloonText">
    <w:name w:val="Balloon Text"/>
    <w:basedOn w:val="Normal"/>
    <w:link w:val="BalloonTextChar"/>
    <w:uiPriority w:val="99"/>
    <w:semiHidden/>
    <w:unhideWhenUsed/>
    <w:rsid w:val="00F03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milton.ca/OntarioHealthTe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Bongers</dc:creator>
  <cp:lastModifiedBy>Siegner Mary</cp:lastModifiedBy>
  <cp:revision>3</cp:revision>
  <dcterms:created xsi:type="dcterms:W3CDTF">2019-10-10T18:40:00Z</dcterms:created>
  <dcterms:modified xsi:type="dcterms:W3CDTF">2019-10-10T18:55:00Z</dcterms:modified>
</cp:coreProperties>
</file>